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F9C" w14:textId="77777777" w:rsidR="00D461C4" w:rsidRPr="00D461C4" w:rsidRDefault="00D461C4" w:rsidP="00D461C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</w:pPr>
      <w:r w:rsidRPr="00D461C4"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  <w:t>Jäv och begreppet bias</w:t>
      </w:r>
    </w:p>
    <w:p w14:paraId="23CB6589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29C84592" w14:textId="38E6A0D2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Objektivitetsprincipen (Förvaltningslagen 5 § 2 st. samt RF 1 kap. 9 §) beträffande myndigheternas handlande ska präglas av objektivitet. Allmänheten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ska kunna förlita sig på att myndigheterna agerar sakligt och opartiskt och inte fattar beslut som grundats i ovidkommande hänsyn. Med jäv avses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omständighet som kan rubba förtroendet till en beslutsfattares, ledamots eller handläggares opartiskhet/objektivitet vid handläggningen av ett ärende.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 omständigheter som utgör jäv återfinns i </w:t>
      </w:r>
      <w:hyperlink r:id="rId5" w:tgtFrame="_blank" w:history="1">
        <w:r w:rsidRPr="00D461C4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förvaltningslagen</w:t>
        </w:r>
      </w:hyperlink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16 och 17 §§.</w:t>
      </w:r>
    </w:p>
    <w:p w14:paraId="0321B94D" w14:textId="77777777" w:rsidR="00D461C4" w:rsidRPr="00D461C4" w:rsidRDefault="00D461C4" w:rsidP="00D461C4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sv-SE"/>
        </w:rPr>
      </w:pPr>
      <w:r w:rsidRPr="00D461C4">
        <w:rPr>
          <w:rFonts w:ascii="Arial" w:eastAsia="Times New Roman" w:hAnsi="Arial" w:cs="Arial"/>
          <w:color w:val="333333"/>
          <w:sz w:val="15"/>
          <w:szCs w:val="15"/>
          <w:lang w:eastAsia="sv-SE"/>
        </w:rPr>
        <w:pict w14:anchorId="13D893D5">
          <v:rect id="_x0000_i1025" style="width:0;height:0" o:hralign="center" o:hrstd="t" o:hr="t" fillcolor="#a0a0a0" stroked="f"/>
        </w:pict>
      </w:r>
    </w:p>
    <w:p w14:paraId="3FCE687C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16 §</w:t>
      </w:r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  Den som för en myndighets räkning tar del i handläggningen på ett sätt som kan påverka myndighetens beslut i ärendet är jävig om</w:t>
      </w:r>
    </w:p>
    <w:p w14:paraId="6C8B28A6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1. han eller hon eller någon närstående är part i ärendet eller annars kan antas bli påverkad av beslutet i en inte oväsentlig utsträckning,</w:t>
      </w:r>
    </w:p>
    <w:p w14:paraId="31A363B6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2. han eller hon eller någon närstående är eller har varit ställföreträdare eller ombud för en part i ärendet eller för någon annan som kan antas bli påverkad av beslutet i en inte oväsentlig utsträckning,</w:t>
      </w:r>
    </w:p>
    <w:p w14:paraId="64351D40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3. han eller hon har medverkat i den slutliga handläggningen av ett ärende hos en annan myndighet och till följd av detta redan har tagit ställning till frågor som myndigheten ska pröva i egenskap av överordnad instans, eller</w:t>
      </w:r>
    </w:p>
    <w:p w14:paraId="64AFFBCF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4. det finns någon annan särskild omständighet som gör att hans eller hennes opartiskhet i ärendet kan ifrågasättas. Om det är uppenbart att frågan om opartiskhet saknar betydelse, ska myndigheten bortse från jäv.</w:t>
      </w:r>
    </w:p>
    <w:p w14:paraId="4E5C330D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17 §</w:t>
      </w:r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  Den som är jävig får inte ta del i handläggningen av ärendet och inte heller närvara när ärendet avgörs. Han eller hon får dock utföra sådana uppgifter som inte någon annan kan utföra utan att handläggningen försenas avsevärt.</w:t>
      </w:r>
    </w:p>
    <w:p w14:paraId="421F676B" w14:textId="77777777" w:rsidR="00D461C4" w:rsidRPr="00D461C4" w:rsidRDefault="00D461C4" w:rsidP="00D461C4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sv-SE"/>
        </w:rPr>
      </w:pPr>
      <w:r w:rsidRPr="00D461C4">
        <w:rPr>
          <w:rFonts w:ascii="Arial" w:eastAsia="Times New Roman" w:hAnsi="Arial" w:cs="Arial"/>
          <w:color w:val="333333"/>
          <w:sz w:val="15"/>
          <w:szCs w:val="15"/>
          <w:lang w:eastAsia="sv-SE"/>
        </w:rPr>
        <w:pict w14:anchorId="76AC0EB1">
          <v:rect id="_x0000_i1026" style="width:0;height:0" o:hralign="center" o:hrstd="t" o:hr="t" fillcolor="#a0a0a0" stroked="f"/>
        </w:pict>
      </w:r>
    </w:p>
    <w:p w14:paraId="49CF4AB6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307215F7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noProof/>
          <w:color w:val="2C60A3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 wp14:anchorId="41BCA4F8" wp14:editId="7D11A3EB">
            <wp:extent cx="3295650" cy="2622550"/>
            <wp:effectExtent l="0" t="0" r="0" b="6350"/>
            <wp:docPr id="3" name="Bildobjekt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55386" w14:textId="622EB341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Regler om jäv återfinns även i </w:t>
      </w:r>
      <w:hyperlink r:id="rId8" w:tgtFrame="_blank" w:history="1">
        <w:r w:rsidRPr="00D461C4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förvaltningslagen</w:t>
        </w:r>
      </w:hyperlink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och </w:t>
      </w:r>
      <w:hyperlink r:id="rId9" w:tgtFrame="_blank" w:history="1">
        <w:r w:rsidRPr="00D461C4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personalföreträdarförordningen</w:t>
        </w:r>
      </w:hyperlink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, med innebörden av de jävsregler som gäller för beslutsfattare, ledamöter och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handläggare inom universitetet redovisas nedan med exempel. Jävsreglerna gäller vid all handläggning av ärenden och således inte bara vid beslutsfattande.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Inspiration till formuleringen hämtat från </w:t>
      </w:r>
      <w:hyperlink r:id="rId10" w:tgtFrame="_blank" w:history="1">
        <w:r w:rsidRPr="00D461C4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Stockholms universitet</w:t>
        </w:r>
      </w:hyperlink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. </w:t>
      </w:r>
    </w:p>
    <w:p w14:paraId="27121A3E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7C8578D6" w14:textId="77777777" w:rsidR="00D461C4" w:rsidRPr="00D461C4" w:rsidRDefault="00D461C4" w:rsidP="00D461C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D461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Begreppet bias,</w:t>
      </w:r>
    </w:p>
    <w:p w14:paraId="0778043F" w14:textId="45E6FFA9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eller på svenska, </w:t>
      </w:r>
      <w:r w:rsidRPr="00D46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partiskhet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, används för att beskriva en systematisk snedvridning eller skevhet i bedömningsprocesser som regelmässigt missgynnar vissa grupper.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Detta är ett problem eftersom ett system då misslyckats med en av sina fundamentala uppgifter – att bedöma vetenskapliga meriter och kvalitet på ett korrekt sätt.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Det finns olika former av systematisk snedvridning i bedömningsprocesser. Bias kan uppstå både utifrån kognitiva begränsningar och utifrån intressen. Kognitiva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begränsningar kan härröra från personliga bias eller professionell bias.</w:t>
      </w:r>
    </w:p>
    <w:p w14:paraId="2EDE02C5" w14:textId="51FE0B8D" w:rsidR="00D461C4" w:rsidRPr="00D461C4" w:rsidRDefault="00D461C4" w:rsidP="00D461C4">
      <w:pPr>
        <w:pStyle w:val="Liststyck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Personlig kognitiv bias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innebär att omedvetna stereotypa föreställningar baserade på kön, ursprung eller andra sociala karakteristika påverkar bedömningen. Det är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denna typ av bias som oftast i dagligt tal omnämns som ”bias” eller ”implicit” eller ”</w:t>
      </w:r>
      <w:proofErr w:type="spellStart"/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unconscious</w:t>
      </w:r>
      <w:proofErr w:type="spellEnd"/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” bias, och är det som tester för personlig bias mäter.</w:t>
      </w:r>
    </w:p>
    <w:p w14:paraId="571A4E27" w14:textId="6EB83642" w:rsidR="00D461C4" w:rsidRPr="00D461C4" w:rsidRDefault="00D461C4" w:rsidP="0045405D">
      <w:pPr>
        <w:pStyle w:val="Liststyck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Professionell kognitiv bias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innebär att uppfattning om vetenskaplig kvalitet är präglad av forskarens inriktning och specialitet. Forskare från olika discipliner och med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olika metodologisk inriktning kan ha olika uppfattningar om vad som är vetenskaplig kvalitet, en bias som ska vara svår att kringgå. Den kan även vara en tillgång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vid bedömning, eftersom det krävs kunskap och insikt om ett forskningsfält för att kunna </w:t>
      </w:r>
      <w:proofErr w:type="gramStart"/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bedöma  kvaliteten</w:t>
      </w:r>
      <w:proofErr w:type="gramEnd"/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på forskningen inom ett område. Denna typ av bias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blir främst problematiskt om en vetenskapligt ensidigt sammansatt grupp sätts att bedöma forskning från olika områden. I sådana fall krävs att bedömargruppen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är sammansatt av forskare från olika ämnesområden för att få en allsidig </w:t>
      </w:r>
      <w:proofErr w:type="spellStart"/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belysni</w:t>
      </w:r>
      <w:proofErr w:type="spellEnd"/>
    </w:p>
    <w:p w14:paraId="27350769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386A076F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Bias som uppstår utifrån intressen kan både vara grundad i personliga intressen och vetenskapliga intressen.</w:t>
      </w:r>
    </w:p>
    <w:p w14:paraId="56AC0151" w14:textId="77777777" w:rsidR="00D461C4" w:rsidRPr="00D461C4" w:rsidRDefault="00D461C4" w:rsidP="00D461C4">
      <w:pPr>
        <w:pStyle w:val="Liststycke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Vid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  <w:r w:rsidRPr="00D461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favorisering utifrån forskningsintresse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färgas bedömningen av en önskan av att främja det egna forskningsområdet.</w:t>
      </w:r>
    </w:p>
    <w:p w14:paraId="1FBB7205" w14:textId="77777777" w:rsidR="00D461C4" w:rsidRPr="00D461C4" w:rsidRDefault="00D461C4" w:rsidP="00D461C4">
      <w:pPr>
        <w:pStyle w:val="Liststycke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Vid </w:t>
      </w:r>
      <w:r w:rsidRPr="00D461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favorisering utifrån personliga relationer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präglas bedömningen av en vilja att premiera personliga relationer.</w:t>
      </w:r>
    </w:p>
    <w:p w14:paraId="7511EB60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 olika formerna av bias i bedömningsprocesser finns illustrerade i tabellen nedan.</w:t>
      </w:r>
    </w:p>
    <w:p w14:paraId="4B7FBF9B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7EE66F5A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noProof/>
          <w:color w:val="2C60A3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 wp14:anchorId="28CA68CE" wp14:editId="653B7A9B">
            <wp:extent cx="7797014" cy="3575050"/>
            <wp:effectExtent l="0" t="0" r="0" b="6350"/>
            <wp:docPr id="2" name="Bildobjekt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111" cy="357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ACBED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Ovanstående om bias hämtat från Karolinska institutet, </w:t>
      </w:r>
      <w:r w:rsidRPr="00D461C4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se länk:</w:t>
      </w: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  <w:hyperlink r:id="rId13" w:tgtFrame="_blank" w:history="1">
        <w:r w:rsidRPr="00D461C4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Vad är bias och varför är det ett problem?</w:t>
        </w:r>
      </w:hyperlink>
    </w:p>
    <w:p w14:paraId="757E233A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031A6A00" w14:textId="77777777" w:rsidR="00D461C4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03ECCB75" wp14:editId="2E45F0CA">
            <wp:extent cx="116840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0C0A" w14:textId="680729B2" w:rsidR="00617B5B" w:rsidRPr="00D461C4" w:rsidRDefault="00D461C4" w:rsidP="00D461C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D461C4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sectPr w:rsidR="00617B5B" w:rsidRPr="00D4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EF6"/>
    <w:multiLevelType w:val="hybridMultilevel"/>
    <w:tmpl w:val="6D328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C1FF7"/>
    <w:multiLevelType w:val="hybridMultilevel"/>
    <w:tmpl w:val="12521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C4"/>
    <w:rsid w:val="00617B5B"/>
    <w:rsid w:val="00D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94E9"/>
  <w15:chartTrackingRefBased/>
  <w15:docId w15:val="{3599A688-AE01-45C4-99B9-63C39FD5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46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461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61C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461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4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461C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D461C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D461C4"/>
    <w:rPr>
      <w:b/>
      <w:bCs/>
    </w:rPr>
  </w:style>
  <w:style w:type="paragraph" w:styleId="Liststycke">
    <w:name w:val="List Paragraph"/>
    <w:basedOn w:val="Normal"/>
    <w:uiPriority w:val="34"/>
    <w:qFormat/>
    <w:rsid w:val="00D4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4075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91946">
                              <w:marLeft w:val="0"/>
                              <w:marRight w:val="0"/>
                              <w:marTop w:val="6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forvaltningslag-2017900_sfs-2017-900" TargetMode="External"/><Relationship Id="rId13" Type="http://schemas.openxmlformats.org/officeDocument/2006/relationships/hyperlink" Target="https://ki.instructure.com/courses/1542/pages/vad-ar-bias-och-varfor-ar-det-ett-problem?module_item_id=222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yggombud.se/files/myndigheter_.jpg" TargetMode="External"/><Relationship Id="rId11" Type="http://schemas.openxmlformats.org/officeDocument/2006/relationships/hyperlink" Target="https://www.byggombud.se/files/bias.jpg" TargetMode="External"/><Relationship Id="rId5" Type="http://schemas.openxmlformats.org/officeDocument/2006/relationships/hyperlink" Target="https://www.riksdagen.se/sv/dokument-lagar/dokument/svensk-forfattningssamling/forvaltningslag-2017900_sfs-2017-9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u.se/medarbetare/organisation-styrning/juridik/f%C3%B6rvaltningsr%C3%A4tt/j%C3%A4v-1.281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ksdagen.se/sv/dokument-lagar/dokument/svensk-forfattningssamling/personalforetradarforordning-19871101_sfs-1987-110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Alsmo</dc:creator>
  <cp:keywords/>
  <dc:description/>
  <cp:lastModifiedBy>Thomas Alsmo</cp:lastModifiedBy>
  <cp:revision>1</cp:revision>
  <dcterms:created xsi:type="dcterms:W3CDTF">2021-07-06T06:05:00Z</dcterms:created>
  <dcterms:modified xsi:type="dcterms:W3CDTF">2021-07-06T06:10:00Z</dcterms:modified>
</cp:coreProperties>
</file>