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5718" w14:textId="77777777" w:rsidR="006D49E6" w:rsidRPr="006D49E6" w:rsidRDefault="006D49E6" w:rsidP="006D49E6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6D49E6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Vetenskaplig konsensus</w:t>
      </w:r>
    </w:p>
    <w:p w14:paraId="49101FD7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är ett gemensamt omdöme, en ståndpunkt och </w:t>
      </w:r>
      <w:hyperlink r:id="rId5" w:tgtFrame="_blank" w:tooltip="Åsikt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åsikt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inom ett </w:t>
      </w:r>
      <w:hyperlink r:id="rId6" w:tgtFrame="_blank" w:tooltip="Vetenskap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vetenskapligt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samfund, inom ett specifikt </w:t>
      </w:r>
      <w:hyperlink r:id="rId7" w:tgtFrame="_blank" w:tooltip="Forskning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forskningsområde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och inom en specifik tidsperiod.</w:t>
      </w:r>
    </w:p>
    <w:p w14:paraId="0AA25912" w14:textId="34D7975A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2AEE8B0C" wp14:editId="7BDEFE88">
            <wp:extent cx="5562600" cy="10223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2F7A" w14:textId="0B6509CB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Vetenskaplig konsensus nås oftast vid en kommunikation, exempelvis under en konferens där samfundets medlemmar presenterar sina projekt. Företrädesvis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är det nyheter från pågående projekt som presenteras, med syftet att erhålla synpunkter på det som presenteras. Dessa resultat saknar vetenskapliga bekräftelse,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kan därmed inte lämna FOU-stadiet vilket måste beaktas vid kontakter utanför kretsen kring det egna samfundet, dvs en fråga om etik.</w:t>
      </w:r>
    </w:p>
    <w:p w14:paraId="52D74B90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3A579C1" w14:textId="77777777" w:rsid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Hur detta de facto efterlevs finns idag stora frågetecken kring. Den vetenskapliga konsensusen förändras genom att den forskning som bedrivs utvecklar både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vår världsbild och olika sakområden. Ett klassiskt historiskt exempel på hur vetenskaplig konsensus kan förändras är </w:t>
      </w:r>
      <w:hyperlink r:id="rId9" w:tgtFrame="_blank" w:tooltip="Klaudios Ptolemaios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Ptolemaios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  <w:hyperlink r:id="rId10" w:tgtFrame="_blank" w:tooltip="Geocentrisk världsbild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geocentriska världsbild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Ptolemaios beskrivning av </w:t>
      </w:r>
      <w:hyperlink r:id="rId11" w:tgtFrame="_blank" w:tooltip="Jorden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jorden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som </w:t>
      </w:r>
      <w:hyperlink r:id="rId12" w:tgtFrame="_blank" w:tooltip="Universum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universums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mitt gällde i århundraden, ända tills </w:t>
      </w:r>
      <w:hyperlink r:id="rId13" w:tgtFrame="_blank" w:tooltip="Nicolaus Copernicus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Copernicus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</w:p>
    <w:p w14:paraId="0962CDD0" w14:textId="1E3CB02A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och </w:t>
      </w:r>
      <w:hyperlink r:id="rId14" w:tgtFrame="_blank" w:tooltip="Johannes Kepler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Kepler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ersatte den med </w:t>
      </w:r>
      <w:hyperlink r:id="rId15" w:tgtFrame="_blank" w:tooltip="Heliocentrisk världsbild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den heliocentriska modellen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.</w:t>
      </w:r>
    </w:p>
    <w:p w14:paraId="2E7E5FE8" w14:textId="3EB20800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1C591098" wp14:editId="590562F4">
            <wp:extent cx="2628900" cy="18351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1BBA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191E8A9C" w14:textId="3D27F6C4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Idag blir det mer vanlig att använda frasen ”att lyssna på vetenskapen”, med hänvisning till konsensussambandet. Vad innebär denna hänvisning? I själva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verket döljer formuleringen en förenkling av verkligheten. För även om det är sant att det finns en vetenskaplig konsensus i en sakfråga så är forskarna inte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lika eniga om hur den bör hanteras.</w:t>
      </w:r>
    </w:p>
    <w:p w14:paraId="43B83F70" w14:textId="3597D159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1FDE6AC4" wp14:editId="2E600B22">
            <wp:extent cx="3225800" cy="2019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9172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52A1F7B" w14:textId="068CF4FE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Uppmaningen ”att lyssna på vetenskapen” antyder att alla forskare som är värda att lyssna på redan har kommit fram till en och samma slutsats, att det endast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finns en modell att fokusera på, trots att det inte finns en fastställd vetenskaplig hypotes att luta modellen mot. Frasen är därmed direkt vilseledande och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dessutom antyds, att alla som inte håller med har suspekta motiv samt att de förnekar både sakfrågan och vetenskapen.</w:t>
      </w:r>
    </w:p>
    <w:p w14:paraId="5C066695" w14:textId="77777777" w:rsidR="006D49E6" w:rsidRPr="006D49E6" w:rsidRDefault="006D49E6" w:rsidP="006D49E6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sv-SE"/>
        </w:rPr>
      </w:pPr>
      <w:r w:rsidRPr="006D49E6">
        <w:rPr>
          <w:rFonts w:ascii="Arial" w:eastAsia="Times New Roman" w:hAnsi="Arial" w:cs="Arial"/>
          <w:color w:val="333333"/>
          <w:sz w:val="15"/>
          <w:szCs w:val="15"/>
          <w:lang w:eastAsia="sv-SE"/>
        </w:rPr>
        <w:pict w14:anchorId="32B2A8FC">
          <v:rect id="_x0000_i1028" style="width:0;height:0" o:hralign="center" o:hrstd="t" o:hr="t" fillcolor="#a0a0a0" stroked="f"/>
        </w:pict>
      </w:r>
    </w:p>
    <w:p w14:paraId="7C9A451B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Ovanstående tolkning har inspirerats av text från </w:t>
      </w:r>
      <w:hyperlink r:id="rId18" w:tgtFrame="_blank" w:history="1"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artikel i SVD 2020-07-</w:t>
        </w:r>
        <w:proofErr w:type="gramStart"/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17,  J.</w:t>
        </w:r>
        <w:proofErr w:type="gramEnd"/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Sandström, Även Greta Thunberg bör lyssna på forskarna</w:t>
        </w:r>
      </w:hyperlink>
    </w:p>
    <w:p w14:paraId="455A1AFD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 xml:space="preserve">Länk artikeln i </w:t>
      </w:r>
      <w:proofErr w:type="spellStart"/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pdf_format</w:t>
      </w:r>
      <w:proofErr w:type="spellEnd"/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: </w:t>
      </w:r>
      <w:hyperlink r:id="rId19" w:tgtFrame="_blank" w:history="1"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Jesper </w:t>
        </w:r>
        <w:proofErr w:type="gramStart"/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Sandström,  Även</w:t>
        </w:r>
        <w:proofErr w:type="gramEnd"/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Greta Thunberg bör lyssna på forskarna</w:t>
        </w:r>
      </w:hyperlink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</w:p>
    <w:p w14:paraId="2CCA3141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3D0602E" w14:textId="77777777" w:rsidR="006D49E6" w:rsidRPr="006D49E6" w:rsidRDefault="006D49E6" w:rsidP="006D49E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6D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Etik och moral</w:t>
      </w:r>
    </w:p>
    <w:p w14:paraId="2491095F" w14:textId="037F6CEC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Inom forskningen bör det inte finnas något egenvärde i att vara ”en motvalls kärring” då själva grunden med forskningen är att alla synpunkter ska beaktas, även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de som inte följer en uppfattning som har spridits i </w:t>
      </w:r>
      <w:proofErr w:type="gramStart"/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ett samhället</w:t>
      </w:r>
      <w:proofErr w:type="gramEnd"/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och som anses vara en självklarhet, trots att det inte finns en vetenskapligt bekräftat hypotes.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Därför viktigt att poängtera, när det verkar som att alla springer åt fel håll, ”att det då kan finnas ett värde i att påpeka detta”. I slutändan är det fråga om moral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och etik, vilket bör gälla för alla inblandade parter, inte minst inom den offentliga verksamheten och inom forskningen.</w:t>
      </w:r>
    </w:p>
    <w:p w14:paraId="6B213EBA" w14:textId="77777777" w:rsidR="006D49E6" w:rsidRPr="006D49E6" w:rsidRDefault="006D49E6" w:rsidP="006D49E6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sv-SE"/>
        </w:rPr>
      </w:pPr>
      <w:r w:rsidRPr="006D49E6">
        <w:rPr>
          <w:rFonts w:ascii="Arial" w:eastAsia="Times New Roman" w:hAnsi="Arial" w:cs="Arial"/>
          <w:color w:val="333333"/>
          <w:sz w:val="15"/>
          <w:szCs w:val="15"/>
          <w:lang w:eastAsia="sv-SE"/>
        </w:rPr>
        <w:pict w14:anchorId="0B09A5D7">
          <v:rect id="_x0000_i1029" style="width:0;height:0" o:hralign="center" o:hrstd="t" o:hr="t" fillcolor="#a0a0a0" stroked="f"/>
        </w:pict>
      </w:r>
    </w:p>
    <w:p w14:paraId="75704EC4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Ovanstående tanke hämtat från artikel i SVD 2020-07-06, S Sundberg, Dödstalen i äldreomsorgen en knäck för varumärket Sverige</w:t>
      </w:r>
    </w:p>
    <w:p w14:paraId="708AB64D" w14:textId="52B1A230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0C2BD7DD" wp14:editId="2580A11D">
            <wp:extent cx="2857500" cy="4381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12D3" w14:textId="66D45FE2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 politiken händer det inte helt sällan att vetenskaplig konsensus åberopas, inte minst när en fråga är kontroversiell. Dock bör även där beaktas att vetenskaplig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hyperlink r:id="rId21" w:tgtFrame="_blank" w:tooltip="Konsensus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konsensus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varken är ett vetenskapligt </w:t>
      </w:r>
      <w:hyperlink r:id="rId22" w:tgtFrame="_blank" w:tooltip="Argument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argument</w:t>
        </w:r>
      </w:hyperlink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 eller är en vetenskapligt bekräftad metodik. Därför viktigt hur </w:t>
      </w:r>
      <w:proofErr w:type="spellStart"/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konsensusbegreppet</w:t>
      </w:r>
      <w:proofErr w:type="spellEnd"/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hanteras när resultat som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inte lämnat FOU-stadiet behandlas utanför sin vetenskapliga krets.</w:t>
      </w:r>
    </w:p>
    <w:p w14:paraId="32AC1320" w14:textId="77777777" w:rsidR="006D49E6" w:rsidRPr="006D49E6" w:rsidRDefault="006D49E6" w:rsidP="006D49E6">
      <w:pPr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sv-SE"/>
        </w:rPr>
      </w:pPr>
      <w:r w:rsidRPr="006D49E6">
        <w:rPr>
          <w:rFonts w:ascii="Arial" w:eastAsia="Times New Roman" w:hAnsi="Arial" w:cs="Arial"/>
          <w:color w:val="333333"/>
          <w:sz w:val="15"/>
          <w:szCs w:val="15"/>
          <w:lang w:eastAsia="sv-SE"/>
        </w:rPr>
        <w:pict w14:anchorId="0904F9F4">
          <v:rect id="_x0000_i1031" style="width:0;height:0" o:hralign="center" o:hrstd="t" o:hr="t" fillcolor="#a0a0a0" stroked="f"/>
        </w:pict>
      </w:r>
    </w:p>
    <w:p w14:paraId="0E6690BD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 xml:space="preserve">Ovanstående har formulerats med hjälp av länk från </w:t>
      </w:r>
      <w:proofErr w:type="spellStart"/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Wikipedia</w:t>
      </w:r>
      <w:proofErr w:type="spellEnd"/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: </w:t>
      </w:r>
      <w:hyperlink r:id="rId23" w:tgtFrame="_blank" w:history="1"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https://sv.wikipedia.org/wiki/Vetenskaplig_konsensus</w:t>
        </w:r>
      </w:hyperlink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</w:p>
    <w:p w14:paraId="0FCB5B89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51FDCD7B" w14:textId="55CCD7D6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 samband med våra projekt kommer vi i kontakt med utredningar som ger upphov till en del frågeställningar. Nedan följer länk till två exempel som kan göra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att man kan bli lite betänksam med tanke på att upprätthålla en trygg och trivsam boendemiljö.</w:t>
      </w:r>
    </w:p>
    <w:p w14:paraId="10C0D0E3" w14:textId="1DB6E832" w:rsidR="006D49E6" w:rsidRPr="006D49E6" w:rsidRDefault="006D49E6" w:rsidP="006D49E6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Utredning från landsting </w:t>
      </w:r>
      <w:hyperlink r:id="rId24" w:tgtFrame="_blank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En arbetsmedicinsk utredning genomförd av Arbets- och miljömedicin Uppsala</w:t>
        </w:r>
      </w:hyperlink>
    </w:p>
    <w:p w14:paraId="501A48D7" w14:textId="681549B2" w:rsidR="006D49E6" w:rsidRPr="006D49E6" w:rsidRDefault="006D49E6" w:rsidP="006D49E6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Byggforskningsrådet sammanställning från ett seminarium år 1992:</w:t>
      </w:r>
      <w:hyperlink r:id="rId25" w:tgtFrame="_blank" w:history="1">
        <w:r w:rsidRPr="006D49E6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 Kan man bli sjuk av lukter mögel och bakterier i hus</w:t>
        </w:r>
      </w:hyperlink>
    </w:p>
    <w:p w14:paraId="1B6938AC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EAFECC9" w14:textId="77777777" w:rsidR="006D49E6" w:rsidRPr="006D49E6" w:rsidRDefault="006D49E6" w:rsidP="006D49E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6D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Regeringen inrättade en ny myndighet 1 januari 2020: </w:t>
      </w:r>
      <w:hyperlink r:id="rId26" w:tgtFrame="_blank" w:history="1">
        <w:r w:rsidRPr="006D49E6">
          <w:rPr>
            <w:rFonts w:ascii="Times New Roman" w:eastAsia="Times New Roman" w:hAnsi="Times New Roman" w:cs="Times New Roman"/>
            <w:color w:val="2C60A3"/>
            <w:sz w:val="24"/>
            <w:szCs w:val="24"/>
            <w:u w:val="single"/>
            <w:bdr w:val="none" w:sz="0" w:space="0" w:color="auto" w:frame="1"/>
            <w:lang w:eastAsia="sv-SE"/>
          </w:rPr>
          <w:t>Nämnden för prövning av oredlighet i forskning (</w:t>
        </w:r>
        <w:proofErr w:type="spellStart"/>
        <w:r w:rsidRPr="006D49E6">
          <w:rPr>
            <w:rFonts w:ascii="Times New Roman" w:eastAsia="Times New Roman" w:hAnsi="Times New Roman" w:cs="Times New Roman"/>
            <w:color w:val="2C60A3"/>
            <w:sz w:val="24"/>
            <w:szCs w:val="24"/>
            <w:u w:val="single"/>
            <w:bdr w:val="none" w:sz="0" w:space="0" w:color="auto" w:frame="1"/>
            <w:lang w:eastAsia="sv-SE"/>
          </w:rPr>
          <w:t>Npof</w:t>
        </w:r>
        <w:proofErr w:type="spellEnd"/>
        <w:r w:rsidRPr="006D49E6">
          <w:rPr>
            <w:rFonts w:ascii="Times New Roman" w:eastAsia="Times New Roman" w:hAnsi="Times New Roman" w:cs="Times New Roman"/>
            <w:color w:val="2C60A3"/>
            <w:sz w:val="24"/>
            <w:szCs w:val="24"/>
            <w:u w:val="single"/>
            <w:bdr w:val="none" w:sz="0" w:space="0" w:color="auto" w:frame="1"/>
            <w:lang w:eastAsia="sv-SE"/>
          </w:rPr>
          <w:t>)</w:t>
        </w:r>
      </w:hyperlink>
    </w:p>
    <w:p w14:paraId="2E1BADBE" w14:textId="3551DF3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1EF5AFC1" wp14:editId="7C612192">
            <wp:extent cx="1695450" cy="6413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4DFF" w14:textId="17883A05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Denna nämnd ska pröva frågor enligt lagen (2019:504) om ansvar för god forskningssed och prövning av oredlighet i forskning. Nämnden är en egen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myndighet, men Etikprövningsmyndigheten är värdmyndighet och upplåter lokaler och sköter administrativa och handläggande uppgifter åt myndigheten.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Nämnden ska varje år publicera en rapport med en sammanställning av sina avgöranden från föregående kalenderår och informationen som lämnats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enligt 13 § lagen (2019:504) om ansvar för god forskningssed och prövning av oredlighet i forskning och 1 kap. 18 § högskoleförordningen (1993:100).</w:t>
      </w:r>
    </w:p>
    <w:p w14:paraId="2DF5F459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4FABC376" w14:textId="77777777" w:rsidR="006D49E6" w:rsidRPr="006D49E6" w:rsidRDefault="006D49E6" w:rsidP="006D49E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6D49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Från de styrande har nyligen termen ”akademisk frihet” införts i högskolelagen.</w:t>
      </w:r>
    </w:p>
    <w:p w14:paraId="435E9F55" w14:textId="7DB007B0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Misstrogna personer har frågat sig varifrån entusiasmen för begreppet kommit och tror att det kan vara just denna förvrängda betydelse som har intresserat de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styrande. Man kan ha velat skydda ideologiskt präglad forskning och undervisning inom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högskolan. Intresset kan speciellt tänkas gälla ämnen som etableras med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merpolitisk än vetenskaplig motivering och där vanlig vetenskaplig kontroll fungerar dåligt därför att de som är verksamma inom området alla omfattar samma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ideologi. </w:t>
      </w:r>
      <w:r w:rsidRPr="006D49E6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Länk Inger Enkvist artikel i SVD 2021-04-28: </w:t>
      </w:r>
      <w:hyperlink r:id="rId28" w:history="1">
        <w:r w:rsidRPr="006D49E6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Debatt_ Studenter tvingas acceptera politiserad undervisning</w:t>
        </w:r>
      </w:hyperlink>
    </w:p>
    <w:p w14:paraId="2013699B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3C71E1A" w14:textId="71318545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526435BC" wp14:editId="30636BF6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872A" w14:textId="77777777" w:rsidR="006D49E6" w:rsidRPr="006D49E6" w:rsidRDefault="006D49E6" w:rsidP="006D49E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6D49E6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B3C500F" w14:textId="77777777" w:rsidR="00233768" w:rsidRDefault="00233768" w:rsidP="006D49E6">
      <w:pPr>
        <w:spacing w:after="0" w:line="360" w:lineRule="auto"/>
      </w:pPr>
    </w:p>
    <w:sectPr w:rsidR="0023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6D8"/>
    <w:multiLevelType w:val="hybridMultilevel"/>
    <w:tmpl w:val="89F2B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E6"/>
    <w:rsid w:val="00233768"/>
    <w:rsid w:val="006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A306"/>
  <w15:chartTrackingRefBased/>
  <w15:docId w15:val="{85BBA3CB-7A01-4BEA-ACA0-CF13168E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4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D49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49E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D49E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D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D49E6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6D49E6"/>
    <w:rPr>
      <w:i/>
      <w:iCs/>
    </w:rPr>
  </w:style>
  <w:style w:type="paragraph" w:styleId="Liststycke">
    <w:name w:val="List Paragraph"/>
    <w:basedOn w:val="Normal"/>
    <w:uiPriority w:val="34"/>
    <w:qFormat/>
    <w:rsid w:val="006D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v.wikipedia.org/wiki/Nicolaus_Copernicus" TargetMode="External"/><Relationship Id="rId18" Type="http://schemas.openxmlformats.org/officeDocument/2006/relationships/hyperlink" Target="https://www.svd.se/aven-greta-thunberg-bor-lyssna-pa-forskarna" TargetMode="External"/><Relationship Id="rId26" Type="http://schemas.openxmlformats.org/officeDocument/2006/relationships/hyperlink" Target="https://www.riksdagen.se/sv/dokument-lagar/dokument/svensk-forfattningssamling/forordning-20191152-med-instruktion-for_sfs-2019-1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.wikipedia.org/wiki/Konsensus" TargetMode="External"/><Relationship Id="rId7" Type="http://schemas.openxmlformats.org/officeDocument/2006/relationships/hyperlink" Target="https://sv.wikipedia.org/wiki/Forskning" TargetMode="External"/><Relationship Id="rId12" Type="http://schemas.openxmlformats.org/officeDocument/2006/relationships/hyperlink" Target="https://sv.wikipedia.org/wiki/Universum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byggombud.se/files/sem_92_kan_man_bli_sjuk_av_lukter_mogel_bakterier_i_hus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Vetenskap" TargetMode="External"/><Relationship Id="rId11" Type="http://schemas.openxmlformats.org/officeDocument/2006/relationships/hyperlink" Target="https://sv.wikipedia.org/wiki/Jorden" TargetMode="External"/><Relationship Id="rId24" Type="http://schemas.openxmlformats.org/officeDocument/2006/relationships/hyperlink" Target="https://www.byggombud.se/files/amm_stadshuset_uppsala_utan-namn.pdf" TargetMode="External"/><Relationship Id="rId5" Type="http://schemas.openxmlformats.org/officeDocument/2006/relationships/hyperlink" Target="https://sv.wikipedia.org/wiki/%C3%85sikt" TargetMode="External"/><Relationship Id="rId15" Type="http://schemas.openxmlformats.org/officeDocument/2006/relationships/hyperlink" Target="https://sv.wikipedia.org/wiki/Heliocentrisk_v%C3%A4rldsbild" TargetMode="External"/><Relationship Id="rId23" Type="http://schemas.openxmlformats.org/officeDocument/2006/relationships/hyperlink" Target="https://sv.wikipedia.org/wiki/Vetenskaplig_konsensus" TargetMode="External"/><Relationship Id="rId28" Type="http://schemas.openxmlformats.org/officeDocument/2006/relationships/hyperlink" Target="https://www.byggombud.se/files/Debatt_-Studenter-tvingas-acceptera-politiserad-undervisning-_-SvD.pdf" TargetMode="External"/><Relationship Id="rId10" Type="http://schemas.openxmlformats.org/officeDocument/2006/relationships/hyperlink" Target="https://sv.wikipedia.org/wiki/Geocentrisk_v%C3%A4rldsbild" TargetMode="External"/><Relationship Id="rId19" Type="http://schemas.openxmlformats.org/officeDocument/2006/relationships/hyperlink" Target="https://www.byggombud.se/files/jesper-sandstrom_-aven_greta_thunberg_bor_lyssna_pa_forskarn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Klaudios_Ptolemaios" TargetMode="External"/><Relationship Id="rId14" Type="http://schemas.openxmlformats.org/officeDocument/2006/relationships/hyperlink" Target="https://sv.wikipedia.org/wiki/Johannes_Kepler" TargetMode="External"/><Relationship Id="rId22" Type="http://schemas.openxmlformats.org/officeDocument/2006/relationships/hyperlink" Target="https://sv.wikipedia.org/wiki/Argument" TargetMode="Externa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1</cp:revision>
  <dcterms:created xsi:type="dcterms:W3CDTF">2021-07-06T05:55:00Z</dcterms:created>
  <dcterms:modified xsi:type="dcterms:W3CDTF">2021-07-06T05:59:00Z</dcterms:modified>
</cp:coreProperties>
</file>