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rFonts w:eastAsia="Times New Roman" w:cstheme="minorHAnsi"/>
          <w:b/>
          <w:bCs/>
          <w:color w:val="000000"/>
          <w:sz w:val="20"/>
          <w:szCs w:val="20"/>
          <w:lang w:eastAsia="sv-SE"/>
        </w:rPr>
        <w:t xml:space="preserve">PLAN- OCH BYGGLAGEN </w:t>
      </w:r>
    </w:p>
    <w:p w14:paraId="029BE721" w14:textId="36E343E6" w:rsidR="00B160F8"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77777777" w:rsidR="00B160F8" w:rsidRDefault="00B160F8" w:rsidP="00A32070">
      <w:pPr>
        <w:shd w:val="clear" w:color="auto" w:fill="FFFFFF"/>
        <w:spacing w:after="0" w:line="360" w:lineRule="auto"/>
        <w:outlineLvl w:val="3"/>
        <w:rPr>
          <w:rFonts w:eastAsia="Times New Roman" w:cstheme="minorHAnsi"/>
          <w:b/>
          <w:bCs/>
          <w:color w:val="000000"/>
          <w:sz w:val="20"/>
          <w:szCs w:val="20"/>
          <w:lang w:eastAsia="sv-SE"/>
        </w:rPr>
      </w:pPr>
    </w:p>
    <w:p w14:paraId="4B28F87A" w14:textId="6D8CF5CC" w:rsidR="002D0DE1" w:rsidRPr="00B160F8" w:rsidRDefault="004D188A" w:rsidP="00B160F8">
      <w:pPr>
        <w:shd w:val="clear" w:color="auto" w:fill="FFFFFF"/>
        <w:spacing w:after="0" w:line="360" w:lineRule="auto"/>
        <w:rPr>
          <w:rFonts w:eastAsia="Times New Roman" w:cstheme="minorHAnsi"/>
          <w:b/>
          <w:bCs/>
          <w:color w:val="000000"/>
          <w:sz w:val="20"/>
          <w:szCs w:val="20"/>
          <w:lang w:eastAsia="sv-SE"/>
        </w:rPr>
      </w:pPr>
      <w:hyperlink r:id="rId8" w:anchor="K1" w:history="1">
        <w:r w:rsidRPr="004D188A">
          <w:rPr>
            <w:rFonts w:eastAsia="Times New Roman" w:cstheme="minorHAnsi"/>
            <w:b/>
            <w:bCs/>
            <w:color w:val="1C5170"/>
            <w:sz w:val="20"/>
            <w:szCs w:val="20"/>
            <w:u w:val="single"/>
            <w:lang w:eastAsia="sv-SE"/>
          </w:rPr>
          <w:t>1 kap. Syfte, innehåll och definitioner</w:t>
        </w:r>
      </w:hyperlink>
    </w:p>
    <w:p w14:paraId="66C95DA9" w14:textId="77777777" w:rsidR="004D188A" w:rsidRPr="004D188A" w:rsidRDefault="004D188A" w:rsidP="004D188A">
      <w:pPr>
        <w:spacing w:after="0" w:line="360" w:lineRule="auto"/>
        <w:rPr>
          <w:rFonts w:eastAsia="Times New Roman" w:cstheme="minorHAnsi"/>
          <w:sz w:val="20"/>
          <w:szCs w:val="20"/>
          <w:lang w:eastAsia="sv-SE"/>
        </w:rPr>
      </w:pPr>
      <w:bookmarkStart w:id="0" w:name="K1P1"/>
      <w:r w:rsidRPr="004D188A">
        <w:rPr>
          <w:rFonts w:eastAsia="Times New Roman" w:cstheme="minorHAnsi"/>
          <w:b/>
          <w:bCs/>
          <w:color w:val="333333"/>
          <w:sz w:val="20"/>
          <w:szCs w:val="20"/>
          <w:lang w:eastAsia="sv-SE"/>
        </w:rPr>
        <w:t>1 §</w:t>
      </w:r>
      <w:bookmarkEnd w:id="0"/>
      <w:r w:rsidRPr="004D188A">
        <w:rPr>
          <w:rFonts w:eastAsia="Times New Roman" w:cstheme="minorHAnsi"/>
          <w:sz w:val="20"/>
          <w:szCs w:val="20"/>
          <w:lang w:eastAsia="sv-SE"/>
        </w:rPr>
        <w:t>   I denna lag finns bestämmelser om planläggning av mark och vatten och om byggande. Bestämmelserna syftar till att, med hänsyn till den enskilda människans frihet, främja en samhällsutveckling med jämlika och goda sociala levnadsförhållanden och en god och långsiktigt hållbar livsmiljö för människorna i dagens samhälle och för kommande generationer.</w:t>
      </w:r>
    </w:p>
    <w:p w14:paraId="561AFB2E" w14:textId="77777777" w:rsidR="004D188A" w:rsidRPr="004D188A" w:rsidRDefault="004D188A" w:rsidP="004D188A">
      <w:pPr>
        <w:spacing w:after="0" w:line="360" w:lineRule="auto"/>
        <w:rPr>
          <w:rFonts w:eastAsia="Times New Roman" w:cstheme="minorHAnsi"/>
          <w:sz w:val="20"/>
          <w:szCs w:val="20"/>
          <w:lang w:eastAsia="sv-SE"/>
        </w:rPr>
      </w:pPr>
      <w:bookmarkStart w:id="1" w:name="K1P2"/>
      <w:r w:rsidRPr="004D188A">
        <w:rPr>
          <w:rFonts w:eastAsia="Times New Roman" w:cstheme="minorHAnsi"/>
          <w:b/>
          <w:bCs/>
          <w:color w:val="333333"/>
          <w:sz w:val="20"/>
          <w:szCs w:val="20"/>
          <w:lang w:eastAsia="sv-SE"/>
        </w:rPr>
        <w:t>2 §</w:t>
      </w:r>
      <w:bookmarkEnd w:id="1"/>
      <w:r w:rsidRPr="004D188A">
        <w:rPr>
          <w:rFonts w:eastAsia="Times New Roman" w:cstheme="minorHAnsi"/>
          <w:sz w:val="20"/>
          <w:szCs w:val="20"/>
          <w:lang w:eastAsia="sv-SE"/>
        </w:rPr>
        <w:t>   Det är en kommunal angelägenhet att planlägga användningen av mark och vatten enligt denna lag.</w:t>
      </w:r>
    </w:p>
    <w:p w14:paraId="6422E4EE" w14:textId="090FF2D4" w:rsidR="004D188A" w:rsidRPr="004D188A" w:rsidRDefault="004D188A" w:rsidP="004D188A">
      <w:pPr>
        <w:spacing w:after="0" w:line="360" w:lineRule="auto"/>
        <w:rPr>
          <w:rFonts w:eastAsia="Times New Roman" w:cstheme="minorHAnsi"/>
          <w:sz w:val="20"/>
          <w:szCs w:val="20"/>
          <w:lang w:eastAsia="sv-SE"/>
        </w:rPr>
      </w:pPr>
      <w:bookmarkStart w:id="2" w:name="K1P3"/>
      <w:r w:rsidRPr="004D188A">
        <w:rPr>
          <w:rFonts w:eastAsia="Times New Roman" w:cstheme="minorHAnsi"/>
          <w:b/>
          <w:bCs/>
          <w:color w:val="333333"/>
          <w:sz w:val="20"/>
          <w:szCs w:val="20"/>
          <w:lang w:eastAsia="sv-SE"/>
        </w:rPr>
        <w:t>3 §</w:t>
      </w:r>
      <w:bookmarkEnd w:id="2"/>
      <w:r w:rsidRPr="004D188A">
        <w:rPr>
          <w:rFonts w:eastAsia="Times New Roman" w:cstheme="minorHAnsi"/>
          <w:sz w:val="20"/>
          <w:szCs w:val="20"/>
          <w:lang w:eastAsia="sv-SE"/>
        </w:rPr>
        <w:t>   Lagen innehåller bestämmelser om</w:t>
      </w:r>
      <w:r w:rsidRPr="004D188A">
        <w:rPr>
          <w:rFonts w:eastAsia="Times New Roman" w:cstheme="minorHAnsi"/>
          <w:sz w:val="20"/>
          <w:szCs w:val="20"/>
          <w:lang w:eastAsia="sv-SE"/>
        </w:rPr>
        <w:br/>
        <w:t>   1. lagens syfte, innehåll och definitioner (1 kap.),</w:t>
      </w:r>
      <w:r w:rsidRPr="004D188A">
        <w:rPr>
          <w:rFonts w:eastAsia="Times New Roman" w:cstheme="minorHAnsi"/>
          <w:sz w:val="20"/>
          <w:szCs w:val="20"/>
          <w:lang w:eastAsia="sv-SE"/>
        </w:rPr>
        <w:br/>
        <w:t>   2. allmänna och enskilda intressen (2 kap.),</w:t>
      </w:r>
      <w:r w:rsidRPr="004D188A">
        <w:rPr>
          <w:rFonts w:eastAsia="Times New Roman" w:cstheme="minorHAnsi"/>
          <w:sz w:val="20"/>
          <w:szCs w:val="20"/>
          <w:lang w:eastAsia="sv-SE"/>
        </w:rPr>
        <w:br/>
        <w:t>   3. översiktsplan (3 kap.),</w:t>
      </w:r>
      <w:r w:rsidRPr="004D188A">
        <w:rPr>
          <w:rFonts w:eastAsia="Times New Roman" w:cstheme="minorHAnsi"/>
          <w:sz w:val="20"/>
          <w:szCs w:val="20"/>
          <w:lang w:eastAsia="sv-SE"/>
        </w:rPr>
        <w:br/>
        <w:t>   4. reglering med detaljplan och områdesbestämmelser (4 kap.),</w:t>
      </w:r>
      <w:r w:rsidRPr="004D188A">
        <w:rPr>
          <w:rFonts w:eastAsia="Times New Roman" w:cstheme="minorHAnsi"/>
          <w:sz w:val="20"/>
          <w:szCs w:val="20"/>
          <w:lang w:eastAsia="sv-SE"/>
        </w:rPr>
        <w:br/>
        <w:t>   5. att ta fram detaljplaner och områdesbestämmelser (5 kap.),</w:t>
      </w:r>
      <w:r w:rsidRPr="004D188A">
        <w:rPr>
          <w:rFonts w:eastAsia="Times New Roman" w:cstheme="minorHAnsi"/>
          <w:sz w:val="20"/>
          <w:szCs w:val="20"/>
          <w:lang w:eastAsia="sv-SE"/>
        </w:rPr>
        <w:br/>
        <w:t>   6. genomförandet av detaljplaner (6 kap.),</w:t>
      </w:r>
      <w:r w:rsidRPr="004D188A">
        <w:rPr>
          <w:rFonts w:eastAsia="Times New Roman" w:cstheme="minorHAnsi"/>
          <w:sz w:val="20"/>
          <w:szCs w:val="20"/>
          <w:lang w:eastAsia="sv-SE"/>
        </w:rPr>
        <w:br/>
        <w:t>   7. regional fysisk planering (7 kap.),</w:t>
      </w:r>
      <w:r w:rsidRPr="004D188A">
        <w:rPr>
          <w:rFonts w:eastAsia="Times New Roman" w:cstheme="minorHAnsi"/>
          <w:sz w:val="20"/>
          <w:szCs w:val="20"/>
          <w:lang w:eastAsia="sv-SE"/>
        </w:rPr>
        <w:br/>
        <w:t>   8. krav på byggnadsverk, byggprodukter, tomter och allmänna platser (8 kap.),</w:t>
      </w:r>
      <w:r w:rsidRPr="004D188A">
        <w:rPr>
          <w:rFonts w:eastAsia="Times New Roman" w:cstheme="minorHAnsi"/>
          <w:sz w:val="20"/>
          <w:szCs w:val="20"/>
          <w:lang w:eastAsia="sv-SE"/>
        </w:rPr>
        <w:br/>
        <w:t xml:space="preserve">   9. bygglov, rivningslov och </w:t>
      </w:r>
      <w:proofErr w:type="spellStart"/>
      <w:r w:rsidRPr="004D188A">
        <w:rPr>
          <w:rFonts w:eastAsia="Times New Roman" w:cstheme="minorHAnsi"/>
          <w:sz w:val="20"/>
          <w:szCs w:val="20"/>
          <w:lang w:eastAsia="sv-SE"/>
        </w:rPr>
        <w:t>marklov</w:t>
      </w:r>
      <w:proofErr w:type="spellEnd"/>
      <w:r w:rsidRPr="004D188A">
        <w:rPr>
          <w:rFonts w:eastAsia="Times New Roman" w:cstheme="minorHAnsi"/>
          <w:sz w:val="20"/>
          <w:szCs w:val="20"/>
          <w:lang w:eastAsia="sv-SE"/>
        </w:rPr>
        <w:t xml:space="preserve"> m.m. (9 kap.),</w:t>
      </w:r>
      <w:r w:rsidRPr="004D188A">
        <w:rPr>
          <w:rFonts w:eastAsia="Times New Roman" w:cstheme="minorHAnsi"/>
          <w:sz w:val="20"/>
          <w:szCs w:val="20"/>
          <w:lang w:eastAsia="sv-SE"/>
        </w:rPr>
        <w:br/>
        <w:t>   10. genomförandet av bygg-, rivnings- och markåtgärder (10 kap.),</w:t>
      </w:r>
      <w:r w:rsidRPr="004D188A">
        <w:rPr>
          <w:rFonts w:eastAsia="Times New Roman" w:cstheme="minorHAnsi"/>
          <w:sz w:val="20"/>
          <w:szCs w:val="20"/>
          <w:lang w:eastAsia="sv-SE"/>
        </w:rPr>
        <w:br/>
        <w:t>   11. tillsyn, tillträde, ingripanden och påföljder (11 kap.),</w:t>
      </w:r>
      <w:r w:rsidRPr="004D188A">
        <w:rPr>
          <w:rFonts w:eastAsia="Times New Roman" w:cstheme="minorHAnsi"/>
          <w:sz w:val="20"/>
          <w:szCs w:val="20"/>
          <w:lang w:eastAsia="sv-SE"/>
        </w:rPr>
        <w:br/>
        <w:t>   12. byggnadsnämnden (12 kap.),</w:t>
      </w:r>
      <w:r w:rsidRPr="004D188A">
        <w:rPr>
          <w:rFonts w:eastAsia="Times New Roman" w:cstheme="minorHAnsi"/>
          <w:sz w:val="20"/>
          <w:szCs w:val="20"/>
          <w:lang w:eastAsia="sv-SE"/>
        </w:rPr>
        <w:br/>
        <w:t>   13. överklagande (13 kap.),</w:t>
      </w:r>
      <w:r w:rsidRPr="004D188A">
        <w:rPr>
          <w:rFonts w:eastAsia="Times New Roman" w:cstheme="minorHAnsi"/>
          <w:sz w:val="20"/>
          <w:szCs w:val="20"/>
          <w:lang w:eastAsia="sv-SE"/>
        </w:rPr>
        <w:br/>
        <w:t>   14. skadeersättning och inlösen (14 kap.),</w:t>
      </w:r>
      <w:r w:rsidRPr="004D188A">
        <w:rPr>
          <w:rFonts w:eastAsia="Times New Roman" w:cstheme="minorHAnsi"/>
          <w:sz w:val="20"/>
          <w:szCs w:val="20"/>
          <w:lang w:eastAsia="sv-SE"/>
        </w:rPr>
        <w:br/>
        <w:t>   15. domstolsprövning m.m. (15 kap.), och</w:t>
      </w:r>
      <w:r w:rsidRPr="004D188A">
        <w:rPr>
          <w:rFonts w:eastAsia="Times New Roman" w:cstheme="minorHAnsi"/>
          <w:sz w:val="20"/>
          <w:szCs w:val="20"/>
          <w:lang w:eastAsia="sv-SE"/>
        </w:rPr>
        <w:br/>
        <w:t>   16. bemyndiganden (16 kap.).</w:t>
      </w:r>
    </w:p>
    <w:p w14:paraId="29B57AC5" w14:textId="77777777" w:rsidR="004D188A" w:rsidRPr="004D188A" w:rsidRDefault="004D188A" w:rsidP="004D188A">
      <w:pPr>
        <w:spacing w:after="0" w:line="360" w:lineRule="auto"/>
        <w:rPr>
          <w:rFonts w:eastAsia="Times New Roman" w:cstheme="minorHAnsi"/>
          <w:sz w:val="20"/>
          <w:szCs w:val="20"/>
          <w:lang w:eastAsia="sv-SE"/>
        </w:rPr>
      </w:pPr>
      <w:bookmarkStart w:id="3" w:name="K1P4"/>
      <w:r w:rsidRPr="004D188A">
        <w:rPr>
          <w:rFonts w:eastAsia="Times New Roman" w:cstheme="minorHAnsi"/>
          <w:b/>
          <w:bCs/>
          <w:color w:val="333333"/>
          <w:sz w:val="20"/>
          <w:szCs w:val="20"/>
          <w:lang w:eastAsia="sv-SE"/>
        </w:rPr>
        <w:t>4 §</w:t>
      </w:r>
      <w:bookmarkEnd w:id="3"/>
      <w:r w:rsidRPr="004D188A">
        <w:rPr>
          <w:rFonts w:eastAsia="Times New Roman" w:cstheme="minorHAnsi"/>
          <w:sz w:val="20"/>
          <w:szCs w:val="20"/>
          <w:lang w:eastAsia="sv-SE"/>
        </w:rPr>
        <w:t>   I denna lag avses med</w:t>
      </w:r>
    </w:p>
    <w:p w14:paraId="32339828"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allmän plats</w:t>
      </w:r>
      <w:r w:rsidRPr="00B160F8">
        <w:rPr>
          <w:rFonts w:eastAsia="Times New Roman" w:cstheme="minorHAnsi"/>
          <w:sz w:val="20"/>
          <w:szCs w:val="20"/>
          <w:lang w:eastAsia="sv-SE"/>
        </w:rPr>
        <w:t>: en gata, en väg, en park, ett torg eller ett annat område som enligt en detaljplan är avsett för ett gemensamt behov,</w:t>
      </w:r>
    </w:p>
    <w:p w14:paraId="3CF32D37"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bebygga</w:t>
      </w:r>
      <w:r w:rsidRPr="00B160F8">
        <w:rPr>
          <w:rFonts w:eastAsia="Times New Roman" w:cstheme="minorHAnsi"/>
          <w:sz w:val="20"/>
          <w:szCs w:val="20"/>
          <w:lang w:eastAsia="sv-SE"/>
        </w:rPr>
        <w:t>: att förse ett område med ett eller flera byggnadsverk,</w:t>
      </w:r>
    </w:p>
    <w:p w14:paraId="0061000A" w14:textId="24A73042"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bebyggelse</w:t>
      </w:r>
      <w:r w:rsidRPr="00B160F8">
        <w:rPr>
          <w:rFonts w:eastAsia="Times New Roman" w:cstheme="minorHAnsi"/>
          <w:sz w:val="20"/>
          <w:szCs w:val="20"/>
          <w:lang w:eastAsia="sv-SE"/>
        </w:rPr>
        <w:t>: en samling av byggnadsverk som inte enbart består av andra anläggningar än byggnader,</w:t>
      </w:r>
    </w:p>
    <w:p w14:paraId="244B3A61"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byggherre</w:t>
      </w:r>
      <w:r w:rsidRPr="00B160F8">
        <w:rPr>
          <w:rFonts w:eastAsia="Times New Roman" w:cstheme="minorHAnsi"/>
          <w:sz w:val="20"/>
          <w:szCs w:val="20"/>
          <w:lang w:eastAsia="sv-SE"/>
        </w:rPr>
        <w:t>: den som för egen räkning utför eller låter utföra projekterings-, byggnads-, rivnings- eller markarbeten,</w:t>
      </w:r>
    </w:p>
    <w:p w14:paraId="7798E70F"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byggnad</w:t>
      </w:r>
      <w:r w:rsidRPr="00B160F8">
        <w:rPr>
          <w:rFonts w:eastAsia="Times New Roman" w:cstheme="minorHAnsi"/>
          <w:sz w:val="20"/>
          <w:szCs w:val="20"/>
          <w:lang w:eastAsia="sv-SE"/>
        </w:rPr>
        <w:t>: en varaktig konstruktion som består av tak eller av tak och väggar och som är varaktigt placerad på mark eller helt eller delvis under mark eller är varaktigt placerad på en viss plats i vatten samt är avsedd att vara konstruerad så att människor kan uppehålla sig i den,</w:t>
      </w:r>
    </w:p>
    <w:p w14:paraId="750B5E4C" w14:textId="0B5283DA"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byggnadsnämnden</w:t>
      </w:r>
      <w:r w:rsidRPr="00B160F8">
        <w:rPr>
          <w:rFonts w:eastAsia="Times New Roman" w:cstheme="minorHAnsi"/>
          <w:sz w:val="20"/>
          <w:szCs w:val="20"/>
          <w:lang w:eastAsia="sv-SE"/>
        </w:rPr>
        <w:t>: den eller de nämnder som fullgör kommunens uppgifter enligt denna lag,</w:t>
      </w:r>
    </w:p>
    <w:p w14:paraId="502D87A3"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byggnadsverk</w:t>
      </w:r>
      <w:r w:rsidRPr="00B160F8">
        <w:rPr>
          <w:rFonts w:eastAsia="Times New Roman" w:cstheme="minorHAnsi"/>
          <w:sz w:val="20"/>
          <w:szCs w:val="20"/>
          <w:lang w:eastAsia="sv-SE"/>
        </w:rPr>
        <w:t>: en byggnad eller annan anläggning,</w:t>
      </w:r>
    </w:p>
    <w:p w14:paraId="7DB96622"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lastRenderedPageBreak/>
        <w:t>byggprodukt</w:t>
      </w:r>
      <w:r w:rsidRPr="00B160F8">
        <w:rPr>
          <w:rFonts w:eastAsia="Times New Roman" w:cstheme="minorHAnsi"/>
          <w:sz w:val="20"/>
          <w:szCs w:val="20"/>
          <w:lang w:eastAsia="sv-SE"/>
        </w:rPr>
        <w:t>: en produkt som är avsedd att stadigvarande ingå i ett byggnadsverk,</w:t>
      </w:r>
    </w:p>
    <w:p w14:paraId="4C901219"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exploateringsavtal</w:t>
      </w:r>
      <w:r w:rsidRPr="00B160F8">
        <w:rPr>
          <w:rFonts w:eastAsia="Times New Roman" w:cstheme="minorHAnsi"/>
          <w:sz w:val="20"/>
          <w:szCs w:val="20"/>
          <w:lang w:eastAsia="sv-SE"/>
        </w:rPr>
        <w:t>: avtal om genomförande av en detaljplan och om medfinansieringsersättning mellan en kommun och en byggherre eller en fastighetsägare avseende mark som inte ägs av kommunen, dock inte avtal mellan en kommun och staten om utbyggnad av statlig transportinfrastruktur,</w:t>
      </w:r>
    </w:p>
    <w:p w14:paraId="4E132AB7"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genomförandetiden</w:t>
      </w:r>
      <w:r w:rsidRPr="00B160F8">
        <w:rPr>
          <w:rFonts w:eastAsia="Times New Roman" w:cstheme="minorHAnsi"/>
          <w:sz w:val="20"/>
          <w:szCs w:val="20"/>
          <w:lang w:eastAsia="sv-SE"/>
        </w:rPr>
        <w:t xml:space="preserve">: den tid för genomförandet av en detaljplan som ska bestämmas enligt 4 kap. </w:t>
      </w:r>
      <w:proofErr w:type="gramStart"/>
      <w:r w:rsidRPr="00B160F8">
        <w:rPr>
          <w:rFonts w:eastAsia="Times New Roman" w:cstheme="minorHAnsi"/>
          <w:sz w:val="20"/>
          <w:szCs w:val="20"/>
          <w:lang w:eastAsia="sv-SE"/>
        </w:rPr>
        <w:t>21-25</w:t>
      </w:r>
      <w:proofErr w:type="gramEnd"/>
      <w:r w:rsidRPr="00B160F8">
        <w:rPr>
          <w:rFonts w:eastAsia="Times New Roman" w:cstheme="minorHAnsi"/>
          <w:sz w:val="20"/>
          <w:szCs w:val="20"/>
          <w:lang w:eastAsia="sv-SE"/>
        </w:rPr>
        <w:t xml:space="preserve"> §§,</w:t>
      </w:r>
    </w:p>
    <w:p w14:paraId="505A7BF5"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kvartersmark</w:t>
      </w:r>
      <w:r w:rsidRPr="00B160F8">
        <w:rPr>
          <w:rFonts w:eastAsia="Times New Roman" w:cstheme="minorHAnsi"/>
          <w:sz w:val="20"/>
          <w:szCs w:val="20"/>
          <w:lang w:eastAsia="sv-SE"/>
        </w:rPr>
        <w:t>: mark som enligt en detaljplan inte ska vara allmän plats eller vattenområde,</w:t>
      </w:r>
    </w:p>
    <w:p w14:paraId="35BE304B"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markanvisning</w:t>
      </w:r>
      <w:r w:rsidRPr="00B160F8">
        <w:rPr>
          <w:rFonts w:eastAsia="Times New Roman" w:cstheme="minorHAnsi"/>
          <w:sz w:val="20"/>
          <w:szCs w:val="20"/>
          <w:lang w:eastAsia="sv-SE"/>
        </w:rPr>
        <w:t>: ett avtal mellan en kommun och en byggherre som ger byggherren ensamrätt att under en begränsad tid och under givna villkor förhandla med kommunen om överlåtelse eller upplåtelse av ett visst av kommunen ägt markområde för bebyggande,</w:t>
      </w:r>
    </w:p>
    <w:p w14:paraId="198D3F4C"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medfinansieringsersättning</w:t>
      </w:r>
      <w:r w:rsidRPr="00B160F8">
        <w:rPr>
          <w:rFonts w:eastAsia="Times New Roman" w:cstheme="minorHAnsi"/>
          <w:sz w:val="20"/>
          <w:szCs w:val="20"/>
          <w:lang w:eastAsia="sv-SE"/>
        </w:rPr>
        <w:t>: ersättning som en byggherre eller en fastighetsägare i samband med genomförande av en detaljplan åtar sig att betala för en del av en kommuns kostnad för bidrag till byggande av en viss väg eller järnväg som staten eller en region ansvarar för,</w:t>
      </w:r>
    </w:p>
    <w:p w14:paraId="69F9BFC4"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miljönämnden</w:t>
      </w:r>
      <w:r w:rsidRPr="00B160F8">
        <w:rPr>
          <w:rFonts w:eastAsia="Times New Roman" w:cstheme="minorHAnsi"/>
          <w:sz w:val="20"/>
          <w:szCs w:val="20"/>
          <w:lang w:eastAsia="sv-SE"/>
        </w:rPr>
        <w:t>: den eller de nämnder som fullgör kommunens uppgifter på miljö- och hälsoskyddsområdet,</w:t>
      </w:r>
    </w:p>
    <w:p w14:paraId="0465A39C"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nybyggnad</w:t>
      </w:r>
      <w:r w:rsidRPr="00B160F8">
        <w:rPr>
          <w:rFonts w:eastAsia="Times New Roman" w:cstheme="minorHAnsi"/>
          <w:sz w:val="20"/>
          <w:szCs w:val="20"/>
          <w:lang w:eastAsia="sv-SE"/>
        </w:rPr>
        <w:t>: uppförande av en ny byggnad eller flyttning av en tidigare uppförd byggnad till en ny plats,</w:t>
      </w:r>
    </w:p>
    <w:p w14:paraId="68C29E0D"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ombyggnad</w:t>
      </w:r>
      <w:r w:rsidRPr="00B160F8">
        <w:rPr>
          <w:rFonts w:eastAsia="Times New Roman" w:cstheme="minorHAnsi"/>
          <w:sz w:val="20"/>
          <w:szCs w:val="20"/>
          <w:lang w:eastAsia="sv-SE"/>
        </w:rPr>
        <w:t>: ändring av en byggnad som innebär att hela byggnaden eller en betydande och avgränsbar del av byggnaden påtagligt förnyas,</w:t>
      </w:r>
    </w:p>
    <w:p w14:paraId="400DD40E"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omgivningsbuller</w:t>
      </w:r>
      <w:r w:rsidRPr="00B160F8">
        <w:rPr>
          <w:rFonts w:eastAsia="Times New Roman" w:cstheme="minorHAnsi"/>
          <w:sz w:val="20"/>
          <w:szCs w:val="20"/>
          <w:lang w:eastAsia="sv-SE"/>
        </w:rPr>
        <w:t>: buller från flygplatser, industriell verksamhet, spårtrafik och vägar,</w:t>
      </w:r>
    </w:p>
    <w:p w14:paraId="0CDAB081" w14:textId="6AAE6962"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planläggning</w:t>
      </w:r>
      <w:r w:rsidRPr="00B160F8">
        <w:rPr>
          <w:rFonts w:eastAsia="Times New Roman" w:cstheme="minorHAnsi"/>
          <w:sz w:val="20"/>
          <w:szCs w:val="20"/>
          <w:lang w:eastAsia="sv-SE"/>
        </w:rPr>
        <w:t>: arbetet med att ta fram en regionplan, en översiktsplan, en detaljplan eller områdesbestämmelser,</w:t>
      </w:r>
    </w:p>
    <w:p w14:paraId="7CFAB3D8"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sammanhållen bebyggelse</w:t>
      </w:r>
      <w:r w:rsidRPr="00B160F8">
        <w:rPr>
          <w:rFonts w:eastAsia="Times New Roman" w:cstheme="minorHAnsi"/>
          <w:sz w:val="20"/>
          <w:szCs w:val="20"/>
          <w:lang w:eastAsia="sv-SE"/>
        </w:rPr>
        <w:t>: bebyggelse på tomter som gränsar till varandra eller skiljs åt endast av en väg, gata eller parkmark,</w:t>
      </w:r>
    </w:p>
    <w:p w14:paraId="3A5238CD" w14:textId="14A79B3A"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tillbyggnad</w:t>
      </w:r>
      <w:r w:rsidRPr="00B160F8">
        <w:rPr>
          <w:rFonts w:eastAsia="Times New Roman" w:cstheme="minorHAnsi"/>
          <w:sz w:val="20"/>
          <w:szCs w:val="20"/>
          <w:lang w:eastAsia="sv-SE"/>
        </w:rPr>
        <w:t>: ändring av en byggnad som innebär en ökning av byggnadens volym,</w:t>
      </w:r>
    </w:p>
    <w:p w14:paraId="3CF31DE3" w14:textId="77777777" w:rsid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tomt</w:t>
      </w:r>
      <w:r w:rsidRPr="00B160F8">
        <w:rPr>
          <w:rFonts w:eastAsia="Times New Roman" w:cstheme="minorHAnsi"/>
          <w:sz w:val="20"/>
          <w:szCs w:val="20"/>
          <w:lang w:eastAsia="sv-SE"/>
        </w:rPr>
        <w:t>: ett område som inte är en allmän plats men som omfattar mark avsedd för en eller flera byggnader och mark som ligger i direkt anslutning till byggnaderna och behövs för att byggnaderna ska kunna användas för avsett ändamål,</w:t>
      </w:r>
    </w:p>
    <w:p w14:paraId="7F59DF4B" w14:textId="77C78981"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underhåll</w:t>
      </w:r>
      <w:r w:rsidRPr="00B160F8">
        <w:rPr>
          <w:rFonts w:eastAsia="Times New Roman" w:cstheme="minorHAnsi"/>
          <w:sz w:val="20"/>
          <w:szCs w:val="20"/>
          <w:lang w:eastAsia="sv-SE"/>
        </w:rPr>
        <w:t xml:space="preserve">: en eller flera åtgärder som vidtas i syfte att bibehålla eller återställa en </w:t>
      </w:r>
      <w:proofErr w:type="gramStart"/>
      <w:r w:rsidRPr="00B160F8">
        <w:rPr>
          <w:rFonts w:eastAsia="Times New Roman" w:cstheme="minorHAnsi"/>
          <w:sz w:val="20"/>
          <w:szCs w:val="20"/>
          <w:lang w:eastAsia="sv-SE"/>
        </w:rPr>
        <w:t>byggnads konstruktion</w:t>
      </w:r>
      <w:proofErr w:type="gramEnd"/>
      <w:r w:rsidRPr="00B160F8">
        <w:rPr>
          <w:rFonts w:eastAsia="Times New Roman" w:cstheme="minorHAnsi"/>
          <w:sz w:val="20"/>
          <w:szCs w:val="20"/>
          <w:lang w:eastAsia="sv-SE"/>
        </w:rPr>
        <w:t>, funktion, användningssätt, utseende eller kulturhistoriska värde, och</w:t>
      </w:r>
    </w:p>
    <w:p w14:paraId="35D843BF" w14:textId="77777777" w:rsidR="004D188A" w:rsidRPr="00B160F8" w:rsidRDefault="004D188A" w:rsidP="00B160F8">
      <w:pPr>
        <w:pStyle w:val="Liststycke"/>
        <w:numPr>
          <w:ilvl w:val="0"/>
          <w:numId w:val="2"/>
        </w:numPr>
        <w:spacing w:after="0" w:line="360" w:lineRule="auto"/>
        <w:ind w:left="426" w:hanging="284"/>
        <w:rPr>
          <w:rFonts w:eastAsia="Times New Roman" w:cstheme="minorHAnsi"/>
          <w:sz w:val="20"/>
          <w:szCs w:val="20"/>
          <w:lang w:eastAsia="sv-SE"/>
        </w:rPr>
      </w:pPr>
      <w:r w:rsidRPr="00B160F8">
        <w:rPr>
          <w:rFonts w:eastAsia="Times New Roman" w:cstheme="minorHAnsi"/>
          <w:i/>
          <w:iCs/>
          <w:sz w:val="20"/>
          <w:szCs w:val="20"/>
          <w:lang w:eastAsia="sv-SE"/>
        </w:rPr>
        <w:t>ändring av en byggnad</w:t>
      </w:r>
      <w:r w:rsidRPr="00B160F8">
        <w:rPr>
          <w:rFonts w:eastAsia="Times New Roman" w:cstheme="minorHAnsi"/>
          <w:sz w:val="20"/>
          <w:szCs w:val="20"/>
          <w:lang w:eastAsia="sv-SE"/>
        </w:rPr>
        <w:t xml:space="preserve">: en eller flera åtgärder som ändrar en </w:t>
      </w:r>
      <w:proofErr w:type="gramStart"/>
      <w:r w:rsidRPr="00B160F8">
        <w:rPr>
          <w:rFonts w:eastAsia="Times New Roman" w:cstheme="minorHAnsi"/>
          <w:sz w:val="20"/>
          <w:szCs w:val="20"/>
          <w:lang w:eastAsia="sv-SE"/>
        </w:rPr>
        <w:t>byggnads konstruktion</w:t>
      </w:r>
      <w:proofErr w:type="gramEnd"/>
      <w:r w:rsidRPr="00B160F8">
        <w:rPr>
          <w:rFonts w:eastAsia="Times New Roman" w:cstheme="minorHAnsi"/>
          <w:sz w:val="20"/>
          <w:szCs w:val="20"/>
          <w:lang w:eastAsia="sv-SE"/>
        </w:rPr>
        <w:t>, funktion, användningssätt, utseende eller kulturhistoriska värde. </w:t>
      </w:r>
      <w:r w:rsidRPr="00B160F8">
        <w:rPr>
          <w:rFonts w:eastAsia="Times New Roman" w:cstheme="minorHAnsi"/>
          <w:i/>
          <w:iCs/>
          <w:sz w:val="20"/>
          <w:szCs w:val="20"/>
          <w:lang w:eastAsia="sv-SE"/>
        </w:rPr>
        <w:t>Lag (2019:949)</w:t>
      </w:r>
      <w:r w:rsidRPr="00B160F8">
        <w:rPr>
          <w:rFonts w:eastAsia="Times New Roman" w:cstheme="minorHAnsi"/>
          <w:sz w:val="20"/>
          <w:szCs w:val="20"/>
          <w:lang w:eastAsia="sv-SE"/>
        </w:rPr>
        <w:t>.</w:t>
      </w:r>
    </w:p>
    <w:p w14:paraId="44ABC7D5" w14:textId="77777777" w:rsidR="004D188A" w:rsidRPr="004D188A" w:rsidRDefault="004D188A" w:rsidP="004D188A">
      <w:pPr>
        <w:spacing w:after="0" w:line="360" w:lineRule="auto"/>
        <w:rPr>
          <w:rFonts w:eastAsia="Times New Roman" w:cstheme="minorHAnsi"/>
          <w:sz w:val="20"/>
          <w:szCs w:val="20"/>
          <w:lang w:eastAsia="sv-SE"/>
        </w:rPr>
      </w:pPr>
      <w:bookmarkStart w:id="4" w:name="K1P5"/>
      <w:r w:rsidRPr="004D188A">
        <w:rPr>
          <w:rFonts w:eastAsia="Times New Roman" w:cstheme="minorHAnsi"/>
          <w:b/>
          <w:bCs/>
          <w:color w:val="333333"/>
          <w:sz w:val="20"/>
          <w:szCs w:val="20"/>
          <w:lang w:eastAsia="sv-SE"/>
        </w:rPr>
        <w:t>5 §</w:t>
      </w:r>
      <w:bookmarkEnd w:id="4"/>
      <w:r w:rsidRPr="004D188A">
        <w:rPr>
          <w:rFonts w:eastAsia="Times New Roman" w:cstheme="minorHAnsi"/>
          <w:sz w:val="20"/>
          <w:szCs w:val="20"/>
          <w:lang w:eastAsia="sv-SE"/>
        </w:rPr>
        <w:t>   Om en fastighet har upplåtits med tomträtt, ska det som sägs i denna lag om fastighetsägaren eller fastigheten tillämpas på tomträttshavaren eller tomträtten. En tomträttshavare är dock inte skyldig att bekosta anläggande av gator och andra allmänna platser.</w:t>
      </w:r>
    </w:p>
    <w:p w14:paraId="0D1E213B" w14:textId="77777777" w:rsidR="004D188A" w:rsidRPr="004D188A" w:rsidRDefault="004D188A" w:rsidP="004D188A">
      <w:pPr>
        <w:spacing w:after="0" w:line="360" w:lineRule="auto"/>
        <w:rPr>
          <w:rFonts w:eastAsia="Times New Roman" w:cstheme="minorHAnsi"/>
          <w:sz w:val="20"/>
          <w:szCs w:val="20"/>
          <w:lang w:eastAsia="sv-SE"/>
        </w:rPr>
      </w:pPr>
      <w:bookmarkStart w:id="5" w:name="K1P6"/>
      <w:r w:rsidRPr="004D188A">
        <w:rPr>
          <w:rFonts w:eastAsia="Times New Roman" w:cstheme="minorHAnsi"/>
          <w:b/>
          <w:bCs/>
          <w:color w:val="333333"/>
          <w:sz w:val="20"/>
          <w:szCs w:val="20"/>
          <w:lang w:eastAsia="sv-SE"/>
        </w:rPr>
        <w:t>6 §</w:t>
      </w:r>
      <w:bookmarkEnd w:id="5"/>
      <w:r w:rsidRPr="004D188A">
        <w:rPr>
          <w:rFonts w:eastAsia="Times New Roman" w:cstheme="minorHAnsi"/>
          <w:sz w:val="20"/>
          <w:szCs w:val="20"/>
          <w:lang w:eastAsia="sv-SE"/>
        </w:rPr>
        <w:t>   Den som innehar egendom med ständig besittningsrätt eller med fideikommissrätt eller på grund av testamentariskt förordnande utan att äganderätten tillkommer någon ska vid tillämpning av denna lag anses som egendomens ägare.</w:t>
      </w:r>
    </w:p>
    <w:p w14:paraId="0DD456C0" w14:textId="77777777" w:rsidR="004D188A" w:rsidRDefault="004D188A"/>
    <w:sectPr w:rsidR="004D18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3249" w14:textId="77777777" w:rsidR="00DD26D8" w:rsidRDefault="00DD26D8" w:rsidP="004D188A">
      <w:pPr>
        <w:spacing w:after="0" w:line="240" w:lineRule="auto"/>
      </w:pPr>
      <w:r>
        <w:separator/>
      </w:r>
    </w:p>
  </w:endnote>
  <w:endnote w:type="continuationSeparator" w:id="0">
    <w:p w14:paraId="2C9F93FE" w14:textId="77777777" w:rsidR="00DD26D8" w:rsidRDefault="00DD26D8"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43A7D953"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Pr>
            <w:sz w:val="18"/>
            <w:szCs w:val="18"/>
          </w:rPr>
          <w:t>2</w:t>
        </w:r>
        <w:r w:rsidRPr="00116C3F">
          <w:rPr>
            <w:sz w:val="18"/>
            <w:szCs w:val="18"/>
          </w:rPr>
          <w:t>)</w:t>
        </w:r>
      </w:p>
    </w:sdtContent>
  </w:sdt>
  <w:p w14:paraId="259552DC" w14:textId="060602D9" w:rsidR="004D188A" w:rsidRDefault="004D188A">
    <w:pPr>
      <w:pStyle w:val="Sidfot"/>
    </w:pPr>
    <w:hyperlink r:id="rId1" w:history="1">
      <w:r w:rsidRPr="004102D8">
        <w:rPr>
          <w:rStyle w:val="Hyperlnk"/>
          <w:b/>
          <w:bCs/>
          <w:i/>
          <w:iCs/>
          <w:sz w:val="16"/>
          <w:szCs w:val="16"/>
        </w:rPr>
        <w:t>www.byggombud.se</w:t>
      </w:r>
    </w:hyperlink>
    <w:r>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9230" w14:textId="77777777" w:rsidR="00DD26D8" w:rsidRDefault="00DD26D8" w:rsidP="004D188A">
      <w:pPr>
        <w:spacing w:after="0" w:line="240" w:lineRule="auto"/>
      </w:pPr>
      <w:r>
        <w:separator/>
      </w:r>
    </w:p>
  </w:footnote>
  <w:footnote w:type="continuationSeparator" w:id="0">
    <w:p w14:paraId="267C9F51" w14:textId="77777777" w:rsidR="00DD26D8" w:rsidRDefault="00DD26D8"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D0DE1"/>
    <w:rsid w:val="004D188A"/>
    <w:rsid w:val="00963E54"/>
    <w:rsid w:val="00A32070"/>
    <w:rsid w:val="00B160F8"/>
    <w:rsid w:val="00CF1B52"/>
    <w:rsid w:val="00D05F23"/>
    <w:rsid w:val="00DD2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836</Words>
  <Characters>4434</Characters>
  <Application>Microsoft Office Word</Application>
  <DocSecurity>0</DocSecurity>
  <Lines>36</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6</cp:revision>
  <cp:lastPrinted>2022-02-22T09:28:00Z</cp:lastPrinted>
  <dcterms:created xsi:type="dcterms:W3CDTF">2022-02-22T09:16:00Z</dcterms:created>
  <dcterms:modified xsi:type="dcterms:W3CDTF">2022-02-22T09:30:00Z</dcterms:modified>
</cp:coreProperties>
</file>