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852CEC8" w:rsidR="00A32070"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rFonts w:eastAsia="Times New Roman" w:cstheme="minorHAnsi"/>
          <w:b/>
          <w:bCs/>
          <w:color w:val="000000"/>
          <w:sz w:val="20"/>
          <w:szCs w:val="20"/>
          <w:lang w:eastAsia="sv-SE"/>
        </w:rPr>
        <w:t>PLAN- OCH BYGG</w:t>
      </w:r>
      <w:r w:rsidR="00E354FB">
        <w:rPr>
          <w:rFonts w:eastAsia="Times New Roman" w:cstheme="minorHAnsi"/>
          <w:b/>
          <w:bCs/>
          <w:color w:val="000000"/>
          <w:sz w:val="20"/>
          <w:szCs w:val="20"/>
          <w:lang w:eastAsia="sv-SE"/>
        </w:rPr>
        <w:t>FÖRORDNINGEN</w:t>
      </w:r>
    </w:p>
    <w:p w14:paraId="029BE721" w14:textId="36E343E6" w:rsidR="00B160F8"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47B0AB9E" w14:textId="16FEE9A0" w:rsidR="00B160F8" w:rsidRPr="00370307" w:rsidRDefault="00B160F8" w:rsidP="00370307">
      <w:pPr>
        <w:shd w:val="clear" w:color="auto" w:fill="FFFFFF"/>
        <w:spacing w:after="0" w:line="360" w:lineRule="auto"/>
        <w:outlineLvl w:val="3"/>
        <w:rPr>
          <w:rFonts w:eastAsia="Times New Roman" w:cstheme="minorHAnsi"/>
          <w:b/>
          <w:bCs/>
          <w:color w:val="000000"/>
          <w:sz w:val="20"/>
          <w:szCs w:val="20"/>
          <w:lang w:eastAsia="sv-SE"/>
        </w:rPr>
      </w:pPr>
    </w:p>
    <w:p w14:paraId="50EBA17E" w14:textId="77777777" w:rsidR="00370307" w:rsidRPr="00370307" w:rsidRDefault="00370307" w:rsidP="00370307">
      <w:pPr>
        <w:shd w:val="clear" w:color="auto" w:fill="FFFFFF"/>
        <w:spacing w:after="0" w:line="360" w:lineRule="auto"/>
        <w:rPr>
          <w:rFonts w:cstheme="minorHAnsi"/>
          <w:b/>
          <w:bCs/>
          <w:color w:val="000000"/>
          <w:sz w:val="20"/>
          <w:szCs w:val="20"/>
        </w:rPr>
      </w:pPr>
      <w:hyperlink r:id="rId8" w:anchor="K1" w:history="1">
        <w:r w:rsidRPr="00370307">
          <w:rPr>
            <w:rStyle w:val="Hyperlnk"/>
            <w:rFonts w:cstheme="minorHAnsi"/>
            <w:b/>
            <w:bCs/>
            <w:color w:val="333333"/>
            <w:sz w:val="20"/>
            <w:szCs w:val="20"/>
          </w:rPr>
          <w:t>1 kap. Innehåll och definitioner</w:t>
        </w:r>
      </w:hyperlink>
    </w:p>
    <w:p w14:paraId="4C555692" w14:textId="77777777" w:rsidR="00370307" w:rsidRPr="00370307" w:rsidRDefault="00370307" w:rsidP="00370307">
      <w:pPr>
        <w:shd w:val="clear" w:color="auto" w:fill="FFFFFF"/>
        <w:spacing w:after="0" w:line="360" w:lineRule="auto"/>
        <w:outlineLvl w:val="3"/>
        <w:rPr>
          <w:rFonts w:eastAsia="Times New Roman" w:cstheme="minorHAnsi"/>
          <w:b/>
          <w:bCs/>
          <w:color w:val="000000"/>
          <w:sz w:val="20"/>
          <w:szCs w:val="20"/>
          <w:lang w:eastAsia="sv-SE"/>
        </w:rPr>
      </w:pPr>
    </w:p>
    <w:p w14:paraId="3AB16C9C" w14:textId="77777777" w:rsidR="0039539D" w:rsidRDefault="00370307" w:rsidP="00370307">
      <w:pPr>
        <w:spacing w:after="0" w:line="360" w:lineRule="auto"/>
        <w:rPr>
          <w:rFonts w:eastAsia="Times New Roman" w:cstheme="minorHAnsi"/>
          <w:sz w:val="20"/>
          <w:szCs w:val="20"/>
          <w:lang w:eastAsia="sv-SE"/>
        </w:rPr>
      </w:pPr>
      <w:bookmarkStart w:id="0" w:name="K1P1"/>
      <w:r w:rsidRPr="00370307">
        <w:rPr>
          <w:rFonts w:eastAsia="Times New Roman" w:cstheme="minorHAnsi"/>
          <w:b/>
          <w:bCs/>
          <w:color w:val="333333"/>
          <w:sz w:val="20"/>
          <w:szCs w:val="20"/>
          <w:lang w:eastAsia="sv-SE"/>
        </w:rPr>
        <w:t>1 §</w:t>
      </w:r>
      <w:bookmarkEnd w:id="0"/>
      <w:r w:rsidRPr="00370307">
        <w:rPr>
          <w:rFonts w:eastAsia="Times New Roman" w:cstheme="minorHAnsi"/>
          <w:sz w:val="20"/>
          <w:szCs w:val="20"/>
          <w:lang w:eastAsia="sv-SE"/>
        </w:rPr>
        <w:t>   Denna förordning innehåller bestämmelser om</w:t>
      </w:r>
    </w:p>
    <w:p w14:paraId="77A9D403" w14:textId="77777777" w:rsid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innehåll och definitioner (1 kap.),</w:t>
      </w:r>
    </w:p>
    <w:p w14:paraId="59F06682" w14:textId="77777777" w:rsid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planer och områdesbestämmelser (2 kap.),</w:t>
      </w:r>
    </w:p>
    <w:p w14:paraId="7989EC9A" w14:textId="77777777" w:rsid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krav på byggnadsverk (3 kap.),</w:t>
      </w:r>
    </w:p>
    <w:p w14:paraId="6EC3DE18" w14:textId="77777777" w:rsid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krav på byggprodukter m.m. (4 kap.),</w:t>
      </w:r>
    </w:p>
    <w:p w14:paraId="51391497" w14:textId="77777777" w:rsid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funktions- och säkerhetsåtgärder (5 kap.),</w:t>
      </w:r>
    </w:p>
    <w:p w14:paraId="538F61CC" w14:textId="77777777" w:rsid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lov och anmälan m.m. (6 kap.),</w:t>
      </w:r>
    </w:p>
    <w:p w14:paraId="290303A5" w14:textId="77777777" w:rsid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kontrollplan, funktionskontrollanter, kontrollansvariga och sakkunniga (7 kap.),</w:t>
      </w:r>
    </w:p>
    <w:p w14:paraId="3A64740E" w14:textId="77777777" w:rsid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tillsyn, vägledning och uppföljning (8 kap.),</w:t>
      </w:r>
    </w:p>
    <w:p w14:paraId="6D1FC80D" w14:textId="77777777" w:rsid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byggsanktionsavgifter (9 kap.), och</w:t>
      </w:r>
    </w:p>
    <w:p w14:paraId="2F781B28" w14:textId="7C589381" w:rsidR="00370307" w:rsidRPr="0039539D" w:rsidRDefault="00370307" w:rsidP="0039539D">
      <w:pPr>
        <w:pStyle w:val="Liststycke"/>
        <w:numPr>
          <w:ilvl w:val="0"/>
          <w:numId w:val="10"/>
        </w:numPr>
        <w:spacing w:after="0" w:line="360" w:lineRule="auto"/>
        <w:rPr>
          <w:rFonts w:eastAsia="Times New Roman" w:cstheme="minorHAnsi"/>
          <w:sz w:val="20"/>
          <w:szCs w:val="20"/>
          <w:lang w:eastAsia="sv-SE"/>
        </w:rPr>
      </w:pPr>
      <w:r w:rsidRPr="0039539D">
        <w:rPr>
          <w:rFonts w:eastAsia="Times New Roman" w:cstheme="minorHAnsi"/>
          <w:sz w:val="20"/>
          <w:szCs w:val="20"/>
          <w:lang w:eastAsia="sv-SE"/>
        </w:rPr>
        <w:t>bemyndiganden (10 kap.).</w:t>
      </w:r>
    </w:p>
    <w:p w14:paraId="0EC9FD07" w14:textId="7ABCA65C" w:rsidR="00370307" w:rsidRPr="0039539D" w:rsidRDefault="00370307" w:rsidP="00370307">
      <w:pPr>
        <w:spacing w:after="0" w:line="360" w:lineRule="auto"/>
        <w:rPr>
          <w:rFonts w:eastAsia="Times New Roman" w:cstheme="minorHAnsi"/>
          <w:sz w:val="20"/>
          <w:szCs w:val="20"/>
          <w:lang w:eastAsia="sv-SE"/>
        </w:rPr>
      </w:pPr>
      <w:bookmarkStart w:id="1" w:name="K1P2"/>
      <w:r w:rsidRPr="00370307">
        <w:rPr>
          <w:rFonts w:eastAsia="Times New Roman" w:cstheme="minorHAnsi"/>
          <w:b/>
          <w:bCs/>
          <w:color w:val="333333"/>
          <w:sz w:val="20"/>
          <w:szCs w:val="20"/>
          <w:lang w:eastAsia="sv-SE"/>
        </w:rPr>
        <w:t>2 §</w:t>
      </w:r>
      <w:bookmarkEnd w:id="1"/>
      <w:r w:rsidRPr="00370307">
        <w:rPr>
          <w:rFonts w:eastAsia="Times New Roman" w:cstheme="minorHAnsi"/>
          <w:sz w:val="20"/>
          <w:szCs w:val="20"/>
          <w:lang w:eastAsia="sv-SE"/>
        </w:rPr>
        <w:t>   Termer och uttryck i denna förordning har samma betydelse som i plan- och bygglagen (2010:900).</w:t>
      </w:r>
      <w:bookmarkStart w:id="2" w:name="K1P3"/>
    </w:p>
    <w:p w14:paraId="51E6C8B4" w14:textId="470B124D" w:rsidR="00370307" w:rsidRPr="00370307" w:rsidRDefault="00370307" w:rsidP="00370307">
      <w:pPr>
        <w:spacing w:after="0" w:line="360" w:lineRule="auto"/>
        <w:rPr>
          <w:rFonts w:eastAsia="Times New Roman" w:cstheme="minorHAnsi"/>
          <w:sz w:val="20"/>
          <w:szCs w:val="20"/>
          <w:lang w:eastAsia="sv-SE"/>
        </w:rPr>
      </w:pPr>
      <w:r w:rsidRPr="00370307">
        <w:rPr>
          <w:rFonts w:eastAsia="Times New Roman" w:cstheme="minorHAnsi"/>
          <w:b/>
          <w:bCs/>
          <w:color w:val="333333"/>
          <w:sz w:val="20"/>
          <w:szCs w:val="20"/>
          <w:lang w:eastAsia="sv-SE"/>
        </w:rPr>
        <w:t>3 §</w:t>
      </w:r>
      <w:bookmarkEnd w:id="2"/>
      <w:r w:rsidRPr="00370307">
        <w:rPr>
          <w:rFonts w:eastAsia="Times New Roman" w:cstheme="minorHAnsi"/>
          <w:sz w:val="20"/>
          <w:szCs w:val="20"/>
          <w:lang w:eastAsia="sv-SE"/>
        </w:rPr>
        <w:t>   Med byggnadshöjd avses i denna förordning den höjd som byggnaden har enligt andra och tredje styckena. Vid beräkningen får byggnaden delas upp i flera byggnadskroppar och höjden beräknas för varje del för sig, om det finns särskilda skäl.</w:t>
      </w:r>
    </w:p>
    <w:p w14:paraId="1DAE7696" w14:textId="77777777" w:rsidR="00370307" w:rsidRPr="00370307" w:rsidRDefault="00370307" w:rsidP="00370307">
      <w:p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Byggnadshöjden ska räknas från den medelnivå som marken har invid byggnaden. Om byggnaden ligger mindre än sex meter från allmän plats, ska dock beräkningen utgå från den allmänna platsens medelnivå invid tomten, om inte särskilda skäl föranleder annat.</w:t>
      </w:r>
    </w:p>
    <w:p w14:paraId="49082020" w14:textId="77777777" w:rsidR="00370307" w:rsidRPr="00370307" w:rsidRDefault="00370307" w:rsidP="00370307">
      <w:p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Byggnadshöjden ska räknas upp till skärningen mellan fasadplanet och ett plan som med 45 graders lutning inåt byggnaden berör byggnadens tak.</w:t>
      </w:r>
    </w:p>
    <w:p w14:paraId="57C537FA" w14:textId="77777777" w:rsidR="00370307" w:rsidRPr="00370307" w:rsidRDefault="00370307" w:rsidP="00370307">
      <w:pPr>
        <w:spacing w:after="0" w:line="360" w:lineRule="auto"/>
        <w:rPr>
          <w:rFonts w:eastAsia="Times New Roman" w:cstheme="minorHAnsi"/>
          <w:sz w:val="20"/>
          <w:szCs w:val="20"/>
          <w:lang w:eastAsia="sv-SE"/>
        </w:rPr>
      </w:pPr>
      <w:bookmarkStart w:id="3" w:name="K1P3a"/>
      <w:r w:rsidRPr="00370307">
        <w:rPr>
          <w:rFonts w:eastAsia="Times New Roman" w:cstheme="minorHAnsi"/>
          <w:b/>
          <w:bCs/>
          <w:color w:val="333333"/>
          <w:sz w:val="20"/>
          <w:szCs w:val="20"/>
          <w:lang w:eastAsia="sv-SE"/>
        </w:rPr>
        <w:t>3 a §</w:t>
      </w:r>
      <w:bookmarkEnd w:id="3"/>
      <w:r w:rsidRPr="00370307">
        <w:rPr>
          <w:rFonts w:eastAsia="Times New Roman" w:cstheme="minorHAnsi"/>
          <w:sz w:val="20"/>
          <w:szCs w:val="20"/>
          <w:lang w:eastAsia="sv-SE"/>
        </w:rPr>
        <w:t>   I denna förordning avses med</w:t>
      </w:r>
    </w:p>
    <w:p w14:paraId="44014F2E" w14:textId="77777777" w:rsidR="00370307" w:rsidRPr="00370307" w:rsidRDefault="00370307" w:rsidP="00370307">
      <w:pPr>
        <w:pStyle w:val="Liststycke"/>
        <w:numPr>
          <w:ilvl w:val="0"/>
          <w:numId w:val="4"/>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energiprestanda:</w:t>
      </w:r>
      <w:r w:rsidRPr="00370307">
        <w:rPr>
          <w:rFonts w:eastAsia="Times New Roman" w:cstheme="minorHAnsi"/>
          <w:sz w:val="20"/>
          <w:szCs w:val="20"/>
          <w:lang w:eastAsia="sv-SE"/>
        </w:rPr>
        <w:t xml:space="preserve"> den mängd levererad energi som behövs för uppvärmning, kylning, ventilation, varmvatten och belysning vid ett normalt bruk av en byggnad, undantaget sådan energi från sol, vind, mark, luft eller vatten som alstras och används i byggnaden eller på dess tomt,</w:t>
      </w:r>
    </w:p>
    <w:p w14:paraId="01477DFE" w14:textId="77777777" w:rsidR="00370307" w:rsidRPr="00370307" w:rsidRDefault="00370307" w:rsidP="00370307">
      <w:pPr>
        <w:pStyle w:val="Liststycke"/>
        <w:numPr>
          <w:ilvl w:val="0"/>
          <w:numId w:val="4"/>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klimatskärm:</w:t>
      </w:r>
      <w:r w:rsidRPr="00370307">
        <w:rPr>
          <w:rFonts w:eastAsia="Times New Roman" w:cstheme="minorHAnsi"/>
          <w:sz w:val="20"/>
          <w:szCs w:val="20"/>
          <w:lang w:eastAsia="sv-SE"/>
        </w:rPr>
        <w:t xml:space="preserve"> en byggdel bestående av ett eller flera skikt som isolerar det inre av en byggnad från omvärlden när det gäller sådant som temperatur, ljud och fuktighet,</w:t>
      </w:r>
    </w:p>
    <w:p w14:paraId="109D776F" w14:textId="7EA673C9" w:rsidR="00370307" w:rsidRPr="00370307" w:rsidRDefault="00370307" w:rsidP="00370307">
      <w:pPr>
        <w:pStyle w:val="Liststycke"/>
        <w:numPr>
          <w:ilvl w:val="0"/>
          <w:numId w:val="4"/>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primärenergi:</w:t>
      </w:r>
      <w:r w:rsidRPr="00370307">
        <w:rPr>
          <w:rFonts w:eastAsia="Times New Roman" w:cstheme="minorHAnsi"/>
          <w:sz w:val="20"/>
          <w:szCs w:val="20"/>
          <w:lang w:eastAsia="sv-SE"/>
        </w:rPr>
        <w:t xml:space="preserve"> energi som inte har genomgått någon omvandling, och</w:t>
      </w:r>
      <w:r>
        <w:rPr>
          <w:rFonts w:eastAsia="Times New Roman" w:cstheme="minorHAnsi"/>
          <w:sz w:val="20"/>
          <w:szCs w:val="20"/>
          <w:lang w:eastAsia="sv-SE"/>
        </w:rPr>
        <w:t xml:space="preserve"> </w:t>
      </w:r>
      <w:r w:rsidRPr="00370307">
        <w:rPr>
          <w:rFonts w:eastAsia="Times New Roman" w:cstheme="minorHAnsi"/>
          <w:sz w:val="20"/>
          <w:szCs w:val="20"/>
          <w:lang w:eastAsia="sv-SE"/>
        </w:rPr>
        <w:t xml:space="preserve">system för fastighetsautomation och fastighetsstyrning: ett system som är driftskompatibelt med anslutna installationssystem och anordningar i byggnaden och omfattar alla produkter, all programvara och allt tekniskt underhåll som kan stödja en energieffektiv, ekonomisk och säker drift av byggnadens installationssystem genom automatisk styrning och genom att underlätta den manuella hanteringen av byggnadens installationssystem och som fortlöpande övervakar, registrerar, analyserar och gör det möjligt att anpassa energianvändningen samt fastställer riktmärken för energieffektivitet, upptäcker </w:t>
      </w:r>
      <w:r w:rsidRPr="00370307">
        <w:rPr>
          <w:rFonts w:eastAsia="Times New Roman" w:cstheme="minorHAnsi"/>
          <w:sz w:val="20"/>
          <w:szCs w:val="20"/>
          <w:lang w:eastAsia="sv-SE"/>
        </w:rPr>
        <w:lastRenderedPageBreak/>
        <w:t xml:space="preserve">effektivitetsförluster, informerar om möjligheter till förbättrad energieffektivitet och möjliggör kommunikation. </w:t>
      </w:r>
    </w:p>
    <w:p w14:paraId="03FBA885" w14:textId="290F5FDE" w:rsidR="00370307" w:rsidRPr="00370307" w:rsidRDefault="00370307" w:rsidP="00370307">
      <w:pPr>
        <w:spacing w:after="0" w:line="360" w:lineRule="auto"/>
        <w:rPr>
          <w:rFonts w:eastAsia="Times New Roman" w:cstheme="minorHAnsi"/>
          <w:sz w:val="20"/>
          <w:szCs w:val="20"/>
          <w:lang w:eastAsia="sv-SE"/>
        </w:rPr>
      </w:pPr>
      <w:bookmarkStart w:id="4" w:name="K1P3b"/>
      <w:r w:rsidRPr="00370307">
        <w:rPr>
          <w:rFonts w:eastAsia="Times New Roman" w:cstheme="minorHAnsi"/>
          <w:b/>
          <w:bCs/>
          <w:color w:val="333333"/>
          <w:sz w:val="20"/>
          <w:szCs w:val="20"/>
          <w:lang w:eastAsia="sv-SE"/>
        </w:rPr>
        <w:t>3 b §</w:t>
      </w:r>
      <w:bookmarkEnd w:id="4"/>
      <w:r w:rsidRPr="00370307">
        <w:rPr>
          <w:rFonts w:eastAsia="Times New Roman" w:cstheme="minorHAnsi"/>
          <w:sz w:val="20"/>
          <w:szCs w:val="20"/>
          <w:lang w:eastAsia="sv-SE"/>
        </w:rPr>
        <w:t xml:space="preserve">   Med tillfälligt anläggningsboende avses i denna förordning en byggnad eller en del av en byggnad som under en begränsad tid används som en sådan förläggning som avses i 2 § första stycket lagen (1994:137) om mottagande av asylsökande m.fl. </w:t>
      </w:r>
    </w:p>
    <w:p w14:paraId="687CA136" w14:textId="77777777" w:rsidR="00370307" w:rsidRPr="00370307" w:rsidRDefault="00370307" w:rsidP="00370307">
      <w:pPr>
        <w:spacing w:after="0" w:line="360" w:lineRule="auto"/>
        <w:rPr>
          <w:rFonts w:eastAsia="Times New Roman" w:cstheme="minorHAnsi"/>
          <w:sz w:val="20"/>
          <w:szCs w:val="20"/>
          <w:lang w:eastAsia="sv-SE"/>
        </w:rPr>
      </w:pPr>
      <w:bookmarkStart w:id="5" w:name="K1P4"/>
      <w:r w:rsidRPr="00370307">
        <w:rPr>
          <w:rFonts w:eastAsia="Times New Roman" w:cstheme="minorHAnsi"/>
          <w:b/>
          <w:bCs/>
          <w:color w:val="333333"/>
          <w:sz w:val="20"/>
          <w:szCs w:val="20"/>
          <w:lang w:eastAsia="sv-SE"/>
        </w:rPr>
        <w:t>4 §</w:t>
      </w:r>
      <w:bookmarkEnd w:id="5"/>
      <w:r w:rsidRPr="00370307">
        <w:rPr>
          <w:rFonts w:eastAsia="Times New Roman" w:cstheme="minorHAnsi"/>
          <w:sz w:val="20"/>
          <w:szCs w:val="20"/>
          <w:lang w:eastAsia="sv-SE"/>
        </w:rPr>
        <w:t>   Med våning avses i denna förordning ett utrymme i en byggnad där utrymmet avgränsas åt sidorna av byggnadens ytterväggar, uppåt av ett tak eller bjälklag och nedåt av ett golv.</w:t>
      </w:r>
    </w:p>
    <w:p w14:paraId="62ED7E0C" w14:textId="77777777" w:rsidR="00370307" w:rsidRDefault="00370307" w:rsidP="00370307">
      <w:p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En vind ska anses vara en våning endast om</w:t>
      </w:r>
    </w:p>
    <w:p w14:paraId="0CB58F93" w14:textId="77777777" w:rsidR="00370307" w:rsidRDefault="00370307" w:rsidP="00370307">
      <w:pPr>
        <w:pStyle w:val="Liststycke"/>
        <w:numPr>
          <w:ilvl w:val="0"/>
          <w:numId w:val="5"/>
        </w:num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ett bostadsrum eller en arbetslokal kan inredas i utrymmet, och</w:t>
      </w:r>
    </w:p>
    <w:p w14:paraId="1041813B" w14:textId="3D053B02" w:rsidR="00370307" w:rsidRPr="00370307" w:rsidRDefault="00370307" w:rsidP="00370307">
      <w:pPr>
        <w:pStyle w:val="Liststycke"/>
        <w:numPr>
          <w:ilvl w:val="0"/>
          <w:numId w:val="5"/>
        </w:num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byggnadshöjden är mer än 0,7 meter högre än nivån för vindsbjälklagets översida.</w:t>
      </w:r>
    </w:p>
    <w:p w14:paraId="3C075FBE" w14:textId="77777777" w:rsidR="00370307" w:rsidRPr="00370307" w:rsidRDefault="00370307" w:rsidP="00370307">
      <w:p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En källare ska anses vara en våning endast om golvets översida i våningen närmast ovanför källaren ligger mer än 1,5 meter över markens medelnivå invid byggnaden.</w:t>
      </w:r>
    </w:p>
    <w:p w14:paraId="688265D0" w14:textId="77777777" w:rsidR="00370307" w:rsidRDefault="00370307" w:rsidP="00370307">
      <w:pPr>
        <w:spacing w:after="0" w:line="360" w:lineRule="auto"/>
        <w:rPr>
          <w:rFonts w:eastAsia="Times New Roman" w:cstheme="minorHAnsi"/>
          <w:sz w:val="20"/>
          <w:szCs w:val="20"/>
          <w:lang w:eastAsia="sv-SE"/>
        </w:rPr>
      </w:pPr>
      <w:bookmarkStart w:id="6" w:name="K1P5"/>
      <w:r w:rsidRPr="00370307">
        <w:rPr>
          <w:rFonts w:eastAsia="Times New Roman" w:cstheme="minorHAnsi"/>
          <w:b/>
          <w:bCs/>
          <w:color w:val="333333"/>
          <w:sz w:val="20"/>
          <w:szCs w:val="20"/>
          <w:lang w:eastAsia="sv-SE"/>
        </w:rPr>
        <w:t>5 §</w:t>
      </w:r>
      <w:bookmarkEnd w:id="6"/>
      <w:r w:rsidRPr="00370307">
        <w:rPr>
          <w:rFonts w:eastAsia="Times New Roman" w:cstheme="minorHAnsi"/>
          <w:sz w:val="20"/>
          <w:szCs w:val="20"/>
          <w:lang w:eastAsia="sv-SE"/>
        </w:rPr>
        <w:t>   Med motordrivna anordningar avses i denna förordning motordrivna</w:t>
      </w:r>
    </w:p>
    <w:p w14:paraId="1E05D068" w14:textId="77777777" w:rsidR="00370307" w:rsidRDefault="00370307" w:rsidP="00370307">
      <w:pPr>
        <w:pStyle w:val="Liststycke"/>
        <w:numPr>
          <w:ilvl w:val="0"/>
          <w:numId w:val="6"/>
        </w:num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hissar med tillhörande säkerhetskomponenter och andra motordrivna anordningar som är avsedda för transport av personer eller gods, med undantag för sådana anordningar som avses i 2 kap. 13 § ordningslagen (1993:1617),</w:t>
      </w:r>
    </w:p>
    <w:p w14:paraId="1E356BA3" w14:textId="77777777" w:rsidR="00370307" w:rsidRDefault="00370307" w:rsidP="00370307">
      <w:pPr>
        <w:pStyle w:val="Liststycke"/>
        <w:numPr>
          <w:ilvl w:val="0"/>
          <w:numId w:val="6"/>
        </w:num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portar, dörrar, galler, grindar och liknande anordningar som är avsedda för passage av personer eller av mark- eller spårbundna fordon, och</w:t>
      </w:r>
    </w:p>
    <w:p w14:paraId="01F0D56B" w14:textId="4A3995D2" w:rsidR="00370307" w:rsidRPr="00370307" w:rsidRDefault="00370307" w:rsidP="00370307">
      <w:pPr>
        <w:pStyle w:val="Liststycke"/>
        <w:numPr>
          <w:ilvl w:val="0"/>
          <w:numId w:val="6"/>
        </w:num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anordningar som är avsedda att ta hand om och forsla bort avfall från byggnader som har försetts med en sådan anordning.</w:t>
      </w:r>
    </w:p>
    <w:p w14:paraId="0F3811BC" w14:textId="77777777" w:rsidR="00370307" w:rsidRPr="00370307" w:rsidRDefault="00370307" w:rsidP="00370307">
      <w:p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Med motordrivna anordningar avses i denna förordning inte anordningar som är avsedda att användas endast yrkesmässigt av särskilt instruerad personal.</w:t>
      </w:r>
    </w:p>
    <w:p w14:paraId="3F70058B" w14:textId="77777777" w:rsidR="00370307" w:rsidRDefault="00370307" w:rsidP="00370307">
      <w:pPr>
        <w:spacing w:after="0" w:line="360" w:lineRule="auto"/>
        <w:rPr>
          <w:rFonts w:eastAsia="Times New Roman" w:cstheme="minorHAnsi"/>
          <w:sz w:val="20"/>
          <w:szCs w:val="20"/>
          <w:lang w:eastAsia="sv-SE"/>
        </w:rPr>
      </w:pPr>
      <w:bookmarkStart w:id="7" w:name="K1P6"/>
      <w:r w:rsidRPr="00370307">
        <w:rPr>
          <w:rFonts w:eastAsia="Times New Roman" w:cstheme="minorHAnsi"/>
          <w:b/>
          <w:bCs/>
          <w:color w:val="333333"/>
          <w:sz w:val="20"/>
          <w:szCs w:val="20"/>
          <w:lang w:eastAsia="sv-SE"/>
        </w:rPr>
        <w:t>6 §</w:t>
      </w:r>
      <w:bookmarkEnd w:id="7"/>
      <w:r w:rsidRPr="00370307">
        <w:rPr>
          <w:rFonts w:eastAsia="Times New Roman" w:cstheme="minorHAnsi"/>
          <w:sz w:val="20"/>
          <w:szCs w:val="20"/>
          <w:lang w:eastAsia="sv-SE"/>
        </w:rPr>
        <w:t>   Med tillsyn avses i denna förordning</w:t>
      </w:r>
    </w:p>
    <w:p w14:paraId="79090818" w14:textId="77777777" w:rsidR="00370307" w:rsidRDefault="00370307" w:rsidP="00370307">
      <w:pPr>
        <w:pStyle w:val="Liststycke"/>
        <w:numPr>
          <w:ilvl w:val="0"/>
          <w:numId w:val="7"/>
        </w:num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t</w:t>
      </w:r>
      <w:r w:rsidRPr="00370307">
        <w:rPr>
          <w:rFonts w:eastAsia="Times New Roman" w:cstheme="minorHAnsi"/>
          <w:sz w:val="20"/>
          <w:szCs w:val="20"/>
          <w:lang w:eastAsia="sv-SE"/>
        </w:rPr>
        <w:t>illsyn som utövas</w:t>
      </w:r>
      <w:r w:rsidRPr="00370307">
        <w:rPr>
          <w:rFonts w:eastAsia="Times New Roman" w:cstheme="minorHAnsi"/>
          <w:sz w:val="20"/>
          <w:szCs w:val="20"/>
          <w:lang w:eastAsia="sv-SE"/>
        </w:rPr>
        <w:br/>
        <w:t>a) direkt gentemot den som bedriver en verksamhet eller vidtar en åtgärd, eller</w:t>
      </w:r>
      <w:r w:rsidRPr="00370307">
        <w:rPr>
          <w:rFonts w:eastAsia="Times New Roman" w:cstheme="minorHAnsi"/>
          <w:sz w:val="20"/>
          <w:szCs w:val="20"/>
          <w:lang w:eastAsia="sv-SE"/>
        </w:rPr>
        <w:br/>
        <w:t xml:space="preserve">b) i enlighet med bestämmelserna om tillsyn över kommunala beslut och planförelägganden i 11 kap. </w:t>
      </w:r>
      <w:proofErr w:type="gramStart"/>
      <w:r w:rsidRPr="00370307">
        <w:rPr>
          <w:rFonts w:eastAsia="Times New Roman" w:cstheme="minorHAnsi"/>
          <w:sz w:val="20"/>
          <w:szCs w:val="20"/>
          <w:lang w:eastAsia="sv-SE"/>
        </w:rPr>
        <w:t>10-12</w:t>
      </w:r>
      <w:proofErr w:type="gramEnd"/>
      <w:r w:rsidRPr="00370307">
        <w:rPr>
          <w:rFonts w:eastAsia="Times New Roman" w:cstheme="minorHAnsi"/>
          <w:sz w:val="20"/>
          <w:szCs w:val="20"/>
          <w:lang w:eastAsia="sv-SE"/>
        </w:rPr>
        <w:t>, 15 och 16 §§ plan- och bygglagen (2010:900), eller</w:t>
      </w:r>
    </w:p>
    <w:p w14:paraId="750D250C" w14:textId="3186B358" w:rsidR="00370307" w:rsidRPr="00370307" w:rsidRDefault="00370307" w:rsidP="00370307">
      <w:pPr>
        <w:pStyle w:val="Liststycke"/>
        <w:numPr>
          <w:ilvl w:val="0"/>
          <w:numId w:val="7"/>
        </w:num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marknadskontroll enligt</w:t>
      </w:r>
      <w:r w:rsidRPr="00370307">
        <w:rPr>
          <w:rFonts w:eastAsia="Times New Roman" w:cstheme="minorHAnsi"/>
          <w:sz w:val="20"/>
          <w:szCs w:val="20"/>
          <w:lang w:eastAsia="sv-SE"/>
        </w:rPr>
        <w:br/>
        <w:t>a) Europaparlamentets och rådets förordning (EU) 2019/1020 av den 20 juni 2019 om marknadskontroll och överensstämmelse för produkter och om ändring av direktiv 2004/42/EG och förordningarna (EG) nr 765/2008 och (EU) nr 305/2011,</w:t>
      </w:r>
      <w:r w:rsidRPr="00370307">
        <w:rPr>
          <w:rFonts w:eastAsia="Times New Roman" w:cstheme="minorHAnsi"/>
          <w:sz w:val="20"/>
          <w:szCs w:val="20"/>
          <w:lang w:eastAsia="sv-SE"/>
        </w:rPr>
        <w:br/>
        <w:t>b) Europaparlamentets och rådets förordning (EU) nr 305/2011 av den 9 mars 2011 om fastställande av harmoniserade villkor för saluföring av byggprodukter och om upphävande av rådets direktiv 89/106/EG, eller</w:t>
      </w:r>
      <w:r w:rsidRPr="00370307">
        <w:rPr>
          <w:rFonts w:eastAsia="Times New Roman" w:cstheme="minorHAnsi"/>
          <w:sz w:val="20"/>
          <w:szCs w:val="20"/>
          <w:lang w:eastAsia="sv-SE"/>
        </w:rPr>
        <w:br/>
        <w:t xml:space="preserve">c) Europaparlamentets och rådets förordning (EU) nr 2016/424 av den 9 mars 2016 om linbaneanläggningar och om upphävande av direktiv 2000/9/EG. </w:t>
      </w:r>
    </w:p>
    <w:p w14:paraId="4F74BD48" w14:textId="77777777" w:rsidR="00370307" w:rsidRDefault="00370307" w:rsidP="00370307">
      <w:pPr>
        <w:spacing w:after="0" w:line="360" w:lineRule="auto"/>
        <w:rPr>
          <w:rFonts w:eastAsia="Times New Roman" w:cstheme="minorHAnsi"/>
          <w:sz w:val="20"/>
          <w:szCs w:val="20"/>
          <w:lang w:eastAsia="sv-SE"/>
        </w:rPr>
      </w:pPr>
      <w:bookmarkStart w:id="8" w:name="K1P7"/>
      <w:r w:rsidRPr="00370307">
        <w:rPr>
          <w:rFonts w:eastAsia="Times New Roman" w:cstheme="minorHAnsi"/>
          <w:b/>
          <w:bCs/>
          <w:color w:val="333333"/>
          <w:sz w:val="20"/>
          <w:szCs w:val="20"/>
          <w:lang w:eastAsia="sv-SE"/>
        </w:rPr>
        <w:t>7 §</w:t>
      </w:r>
      <w:bookmarkEnd w:id="8"/>
      <w:r w:rsidRPr="00370307">
        <w:rPr>
          <w:rFonts w:eastAsia="Times New Roman" w:cstheme="minorHAnsi"/>
          <w:sz w:val="20"/>
          <w:szCs w:val="20"/>
          <w:lang w:eastAsia="sv-SE"/>
        </w:rPr>
        <w:t>   Med sanktionsarea avses i denna förordning den area som i fråga om</w:t>
      </w:r>
    </w:p>
    <w:p w14:paraId="4B061AF4" w14:textId="77777777" w:rsidR="00370307" w:rsidRDefault="00370307" w:rsidP="00370307">
      <w:pPr>
        <w:pStyle w:val="Liststycke"/>
        <w:numPr>
          <w:ilvl w:val="0"/>
          <w:numId w:val="8"/>
        </w:num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lastRenderedPageBreak/>
        <w:t>en lov- eller anmälningspliktig åtgärd motsvarar brutto- eller öppenarean eller en kombination av dessa minskad med 15 kvadratmeter, eller</w:t>
      </w:r>
    </w:p>
    <w:p w14:paraId="145346B5" w14:textId="501B8690" w:rsidR="00370307" w:rsidRPr="00370307" w:rsidRDefault="00370307" w:rsidP="00370307">
      <w:pPr>
        <w:pStyle w:val="Liststycke"/>
        <w:numPr>
          <w:ilvl w:val="0"/>
          <w:numId w:val="8"/>
        </w:numPr>
        <w:spacing w:after="0" w:line="360" w:lineRule="auto"/>
        <w:rPr>
          <w:rFonts w:eastAsia="Times New Roman" w:cstheme="minorHAnsi"/>
          <w:sz w:val="20"/>
          <w:szCs w:val="20"/>
          <w:lang w:eastAsia="sv-SE"/>
        </w:rPr>
      </w:pPr>
      <w:r w:rsidRPr="00370307">
        <w:rPr>
          <w:rFonts w:eastAsia="Times New Roman" w:cstheme="minorHAnsi"/>
          <w:sz w:val="20"/>
          <w:szCs w:val="20"/>
          <w:lang w:eastAsia="sv-SE"/>
        </w:rPr>
        <w:t>en markåtgärd motsvarar den area som åtgärden avser.</w:t>
      </w:r>
    </w:p>
    <w:p w14:paraId="59CC3F48" w14:textId="77777777" w:rsidR="00370307" w:rsidRPr="00370307" w:rsidRDefault="00370307" w:rsidP="00370307">
      <w:pPr>
        <w:spacing w:after="0" w:line="360" w:lineRule="auto"/>
        <w:rPr>
          <w:rFonts w:eastAsia="Times New Roman" w:cstheme="minorHAnsi"/>
          <w:sz w:val="20"/>
          <w:szCs w:val="20"/>
          <w:lang w:eastAsia="sv-SE"/>
        </w:rPr>
      </w:pPr>
      <w:bookmarkStart w:id="9" w:name="K1P7a"/>
      <w:r w:rsidRPr="00370307">
        <w:rPr>
          <w:rFonts w:eastAsia="Times New Roman" w:cstheme="minorHAnsi"/>
          <w:b/>
          <w:bCs/>
          <w:color w:val="333333"/>
          <w:sz w:val="20"/>
          <w:szCs w:val="20"/>
          <w:lang w:eastAsia="sv-SE"/>
        </w:rPr>
        <w:t>7 a §</w:t>
      </w:r>
      <w:bookmarkEnd w:id="9"/>
      <w:r w:rsidRPr="00370307">
        <w:rPr>
          <w:rFonts w:eastAsia="Times New Roman" w:cstheme="minorHAnsi"/>
          <w:sz w:val="20"/>
          <w:szCs w:val="20"/>
          <w:lang w:eastAsia="sv-SE"/>
        </w:rPr>
        <w:t xml:space="preserve">   Vid tillämpning av 4 kap. </w:t>
      </w:r>
      <w:proofErr w:type="gramStart"/>
      <w:r w:rsidRPr="00370307">
        <w:rPr>
          <w:rFonts w:eastAsia="Times New Roman" w:cstheme="minorHAnsi"/>
          <w:sz w:val="20"/>
          <w:szCs w:val="20"/>
          <w:lang w:eastAsia="sv-SE"/>
        </w:rPr>
        <w:t>11-11</w:t>
      </w:r>
      <w:proofErr w:type="gramEnd"/>
      <w:r w:rsidRPr="00370307">
        <w:rPr>
          <w:rFonts w:eastAsia="Times New Roman" w:cstheme="minorHAnsi"/>
          <w:sz w:val="20"/>
          <w:szCs w:val="20"/>
          <w:lang w:eastAsia="sv-SE"/>
        </w:rPr>
        <w:t xml:space="preserve"> f §§, 9 kap. 25 § andra stycket och 10 kap. 26 § 3-5 avses med:</w:t>
      </w:r>
    </w:p>
    <w:p w14:paraId="3873C62D"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hiss</w:t>
      </w:r>
      <w:r w:rsidRPr="00370307">
        <w:rPr>
          <w:rFonts w:eastAsia="Times New Roman" w:cstheme="minorHAnsi"/>
          <w:sz w:val="20"/>
          <w:szCs w:val="20"/>
          <w:lang w:eastAsia="sv-SE"/>
        </w:rPr>
        <w:t xml:space="preserve">: en lyftanordning som betjänar fasta stannplan och som har en </w:t>
      </w:r>
      <w:proofErr w:type="spellStart"/>
      <w:r w:rsidRPr="00370307">
        <w:rPr>
          <w:rFonts w:eastAsia="Times New Roman" w:cstheme="minorHAnsi"/>
          <w:sz w:val="20"/>
          <w:szCs w:val="20"/>
          <w:lang w:eastAsia="sv-SE"/>
        </w:rPr>
        <w:t>lastbärare</w:t>
      </w:r>
      <w:proofErr w:type="spellEnd"/>
      <w:r w:rsidRPr="00370307">
        <w:rPr>
          <w:rFonts w:eastAsia="Times New Roman" w:cstheme="minorHAnsi"/>
          <w:sz w:val="20"/>
          <w:szCs w:val="20"/>
          <w:lang w:eastAsia="sv-SE"/>
        </w:rPr>
        <w:t xml:space="preserve"> som styrs längs fasta gejder med en lutning större än 15 grader mot horisontalplanet, eller en lyftanordning som rör sig längs en fast </w:t>
      </w:r>
      <w:proofErr w:type="spellStart"/>
      <w:r w:rsidRPr="00370307">
        <w:rPr>
          <w:rFonts w:eastAsia="Times New Roman" w:cstheme="minorHAnsi"/>
          <w:sz w:val="20"/>
          <w:szCs w:val="20"/>
          <w:lang w:eastAsia="sv-SE"/>
        </w:rPr>
        <w:t>rörelsebana</w:t>
      </w:r>
      <w:proofErr w:type="spellEnd"/>
      <w:r w:rsidRPr="00370307">
        <w:rPr>
          <w:rFonts w:eastAsia="Times New Roman" w:cstheme="minorHAnsi"/>
          <w:sz w:val="20"/>
          <w:szCs w:val="20"/>
          <w:lang w:eastAsia="sv-SE"/>
        </w:rPr>
        <w:t xml:space="preserve"> trots att den inte är styrd längs fasta gejder,</w:t>
      </w:r>
    </w:p>
    <w:p w14:paraId="6FAF68D7"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tillhandahållande på marknaden</w:t>
      </w:r>
      <w:r w:rsidRPr="00370307">
        <w:rPr>
          <w:rFonts w:eastAsia="Times New Roman" w:cstheme="minorHAnsi"/>
          <w:sz w:val="20"/>
          <w:szCs w:val="20"/>
          <w:lang w:eastAsia="sv-SE"/>
        </w:rPr>
        <w:t>: leverans av säkerhetskomponenter till hissar för distribution eller användning på unionsmarknaden i samband med kommersiell verksamhet, mot betalning eller kostnadsfritt,</w:t>
      </w:r>
    </w:p>
    <w:p w14:paraId="02AC1202"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utsläppande på marknaden</w:t>
      </w:r>
      <w:r w:rsidRPr="00370307">
        <w:rPr>
          <w:rFonts w:eastAsia="Times New Roman" w:cstheme="minorHAnsi"/>
          <w:sz w:val="20"/>
          <w:szCs w:val="20"/>
          <w:lang w:eastAsia="sv-SE"/>
        </w:rPr>
        <w:t>: första gången en säkerhetskomponent till hissar tillhandahålls på marknaden, eller tillhandahållande av en hiss för användning på unionsmarknaden i samband med kommersiell verksamhet, mot betalning eller kostnadsfritt,</w:t>
      </w:r>
    </w:p>
    <w:p w14:paraId="2CB2C743"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installatör</w:t>
      </w:r>
      <w:r w:rsidRPr="00370307">
        <w:rPr>
          <w:rFonts w:eastAsia="Times New Roman" w:cstheme="minorHAnsi"/>
          <w:sz w:val="20"/>
          <w:szCs w:val="20"/>
          <w:lang w:eastAsia="sv-SE"/>
        </w:rPr>
        <w:t>: fysisk eller juridisk person som åtar sig ansvaret för konstruktion, tillverkning, installation och utsläppande på marknaden av en hiss,</w:t>
      </w:r>
    </w:p>
    <w:p w14:paraId="00BC22FD"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tillverkare:</w:t>
      </w:r>
      <w:r w:rsidRPr="00370307">
        <w:rPr>
          <w:rFonts w:eastAsia="Times New Roman" w:cstheme="minorHAnsi"/>
          <w:sz w:val="20"/>
          <w:szCs w:val="20"/>
          <w:lang w:eastAsia="sv-SE"/>
        </w:rPr>
        <w:t xml:space="preserve"> fysisk eller juridisk person som tillverkar eller som låter konstruera eller tillverka en säkerhetskomponent till hissar och saluför denna produkt, i eget namn eller under eget varumärke,</w:t>
      </w:r>
    </w:p>
    <w:p w14:paraId="3BD64805"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tillverkarens representant</w:t>
      </w:r>
      <w:r w:rsidRPr="00370307">
        <w:rPr>
          <w:rFonts w:eastAsia="Times New Roman" w:cstheme="minorHAnsi"/>
          <w:sz w:val="20"/>
          <w:szCs w:val="20"/>
          <w:lang w:eastAsia="sv-SE"/>
        </w:rPr>
        <w:t>: fysisk eller juridisk person som är etablerad inom unionen och som enligt skriftlig fullmakt från installatören eller tillverkaren har rätt att i dennes ställe utföra särskilda uppgifter,</w:t>
      </w:r>
    </w:p>
    <w:p w14:paraId="2757D632"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importör:</w:t>
      </w:r>
      <w:r w:rsidRPr="00370307">
        <w:rPr>
          <w:rFonts w:eastAsia="Times New Roman" w:cstheme="minorHAnsi"/>
          <w:sz w:val="20"/>
          <w:szCs w:val="20"/>
          <w:lang w:eastAsia="sv-SE"/>
        </w:rPr>
        <w:t xml:space="preserve"> fysisk eller juridisk person som är etablerad inom unionen och släpper ut en säkerhetskomponent till hissar från tredjeland på unionsmarknaden,</w:t>
      </w:r>
    </w:p>
    <w:p w14:paraId="5E8409DD"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distributör:</w:t>
      </w:r>
      <w:r w:rsidRPr="00370307">
        <w:rPr>
          <w:rFonts w:eastAsia="Times New Roman" w:cstheme="minorHAnsi"/>
          <w:sz w:val="20"/>
          <w:szCs w:val="20"/>
          <w:lang w:eastAsia="sv-SE"/>
        </w:rPr>
        <w:t xml:space="preserve"> fysisk eller juridisk person i leveranskedjan, förutom tillverkaren eller importören, som tillhandahåller en säkerhetskomponent till hissar på marknaden,</w:t>
      </w:r>
    </w:p>
    <w:p w14:paraId="0FBFD2E3"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ekonomisk aktör</w:t>
      </w:r>
      <w:r w:rsidRPr="00370307">
        <w:rPr>
          <w:rFonts w:eastAsia="Times New Roman" w:cstheme="minorHAnsi"/>
          <w:sz w:val="20"/>
          <w:szCs w:val="20"/>
          <w:lang w:eastAsia="sv-SE"/>
        </w:rPr>
        <w:t>: installatör, tillverkare, tillverkarens representant, importör och distributör,</w:t>
      </w:r>
    </w:p>
    <w:p w14:paraId="6B5D59A6"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bedömning av överensstämmelse</w:t>
      </w:r>
      <w:r w:rsidRPr="00370307">
        <w:rPr>
          <w:rFonts w:eastAsia="Times New Roman" w:cstheme="minorHAnsi"/>
          <w:sz w:val="20"/>
          <w:szCs w:val="20"/>
          <w:lang w:eastAsia="sv-SE"/>
        </w:rPr>
        <w:t>: process där det visas om de grundläggande hälso- och säkerhetskraven som följer av föreskrifter meddelade med stöd av 10 kap. 15 § 3 för en hiss eller en säkerhetskomponent till hissar har uppfyllts,</w:t>
      </w:r>
    </w:p>
    <w:p w14:paraId="6E907C91"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återkallelse av en hiss</w:t>
      </w:r>
      <w:r w:rsidRPr="00370307">
        <w:rPr>
          <w:rFonts w:eastAsia="Times New Roman" w:cstheme="minorHAnsi"/>
          <w:sz w:val="20"/>
          <w:szCs w:val="20"/>
          <w:lang w:eastAsia="sv-SE"/>
        </w:rPr>
        <w:t>: åtgärd för att montera ner en hiss och forsla bort den under säkra former,</w:t>
      </w:r>
      <w:r w:rsidRPr="00370307">
        <w:rPr>
          <w:rFonts w:eastAsia="Times New Roman" w:cstheme="minorHAnsi"/>
          <w:sz w:val="20"/>
          <w:szCs w:val="20"/>
          <w:lang w:eastAsia="sv-SE"/>
        </w:rPr>
        <w:br/>
        <w:t>återkallelse av en säkerhetskomponent till hissar: åtgärd för att dra tillbaka en säkerhetskomponent till hissar som redan har tillhandahållits en installatör eller en slutanvändare,</w:t>
      </w:r>
    </w:p>
    <w:p w14:paraId="0272003F" w14:textId="77777777" w:rsid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tillbakadragande:</w:t>
      </w:r>
      <w:r w:rsidRPr="00370307">
        <w:rPr>
          <w:rFonts w:eastAsia="Times New Roman" w:cstheme="minorHAnsi"/>
          <w:sz w:val="20"/>
          <w:szCs w:val="20"/>
          <w:lang w:eastAsia="sv-SE"/>
        </w:rPr>
        <w:t xml:space="preserve"> åtgärd för att förhindra att en säkerhetskomponent till hissar i leveranskedjan tillhandahålls på marknaden, och</w:t>
      </w:r>
    </w:p>
    <w:p w14:paraId="5C01747B" w14:textId="4E67D355" w:rsidR="00370307" w:rsidRPr="00370307" w:rsidRDefault="00370307" w:rsidP="00370307">
      <w:pPr>
        <w:pStyle w:val="Liststycke"/>
        <w:numPr>
          <w:ilvl w:val="0"/>
          <w:numId w:val="9"/>
        </w:numPr>
        <w:spacing w:after="0" w:line="360" w:lineRule="auto"/>
        <w:rPr>
          <w:rFonts w:eastAsia="Times New Roman" w:cstheme="minorHAnsi"/>
          <w:sz w:val="20"/>
          <w:szCs w:val="20"/>
          <w:lang w:eastAsia="sv-SE"/>
        </w:rPr>
      </w:pPr>
      <w:r w:rsidRPr="00370307">
        <w:rPr>
          <w:rFonts w:eastAsia="Times New Roman" w:cstheme="minorHAnsi"/>
          <w:i/>
          <w:iCs/>
          <w:sz w:val="20"/>
          <w:szCs w:val="20"/>
          <w:lang w:eastAsia="sv-SE"/>
        </w:rPr>
        <w:t>CE-märkning:</w:t>
      </w:r>
      <w:r w:rsidRPr="00370307">
        <w:rPr>
          <w:rFonts w:eastAsia="Times New Roman" w:cstheme="minorHAnsi"/>
          <w:sz w:val="20"/>
          <w:szCs w:val="20"/>
          <w:lang w:eastAsia="sv-SE"/>
        </w:rPr>
        <w:t xml:space="preserve"> märkning genom vilken installatören eller tillverkaren visar att hissen eller säkerhetskomponenten till hissar överensstämmer med de </w:t>
      </w:r>
      <w:proofErr w:type="spellStart"/>
      <w:r w:rsidRPr="00370307">
        <w:rPr>
          <w:rFonts w:eastAsia="Times New Roman" w:cstheme="minorHAnsi"/>
          <w:sz w:val="20"/>
          <w:szCs w:val="20"/>
          <w:lang w:eastAsia="sv-SE"/>
        </w:rPr>
        <w:t>tilllämpliga</w:t>
      </w:r>
      <w:proofErr w:type="spellEnd"/>
      <w:r w:rsidRPr="00370307">
        <w:rPr>
          <w:rFonts w:eastAsia="Times New Roman" w:cstheme="minorHAnsi"/>
          <w:sz w:val="20"/>
          <w:szCs w:val="20"/>
          <w:lang w:eastAsia="sv-SE"/>
        </w:rPr>
        <w:t xml:space="preserve"> kraven i harmoniserad unionslagstiftning som föreskriver CE-märkning. </w:t>
      </w:r>
    </w:p>
    <w:p w14:paraId="3EDE6D46" w14:textId="6553B2DF" w:rsidR="00370307" w:rsidRPr="00370307" w:rsidRDefault="00370307" w:rsidP="00370307">
      <w:pPr>
        <w:spacing w:after="0" w:line="360" w:lineRule="auto"/>
        <w:rPr>
          <w:rFonts w:eastAsia="Times New Roman" w:cstheme="minorHAnsi"/>
          <w:sz w:val="20"/>
          <w:szCs w:val="20"/>
          <w:lang w:eastAsia="sv-SE"/>
        </w:rPr>
      </w:pPr>
      <w:bookmarkStart w:id="10" w:name="K1P7b"/>
      <w:r w:rsidRPr="00370307">
        <w:rPr>
          <w:rFonts w:eastAsia="Times New Roman" w:cstheme="minorHAnsi"/>
          <w:b/>
          <w:bCs/>
          <w:color w:val="333333"/>
          <w:sz w:val="20"/>
          <w:szCs w:val="20"/>
          <w:lang w:eastAsia="sv-SE"/>
        </w:rPr>
        <w:t>7 b §</w:t>
      </w:r>
      <w:bookmarkEnd w:id="10"/>
      <w:r w:rsidRPr="00370307">
        <w:rPr>
          <w:rFonts w:eastAsia="Times New Roman" w:cstheme="minorHAnsi"/>
          <w:sz w:val="20"/>
          <w:szCs w:val="20"/>
          <w:lang w:eastAsia="sv-SE"/>
        </w:rPr>
        <w:t>   Med skylt avses i denna förordning en skylt, tavla, bildskärm, flagga, ljusprojektion eller liknande med syfte att förmedla reklam, information eller liknande.</w:t>
      </w:r>
    </w:p>
    <w:p w14:paraId="7612E10E" w14:textId="77777777" w:rsidR="00370307" w:rsidRPr="00370307" w:rsidRDefault="00370307" w:rsidP="00370307">
      <w:pPr>
        <w:spacing w:after="0" w:line="360" w:lineRule="auto"/>
        <w:rPr>
          <w:rFonts w:eastAsia="Times New Roman" w:cstheme="minorHAnsi"/>
          <w:sz w:val="20"/>
          <w:szCs w:val="20"/>
          <w:lang w:eastAsia="sv-SE"/>
        </w:rPr>
      </w:pPr>
      <w:bookmarkStart w:id="11" w:name="K1P8"/>
      <w:r w:rsidRPr="00370307">
        <w:rPr>
          <w:rFonts w:eastAsia="Times New Roman" w:cstheme="minorHAnsi"/>
          <w:b/>
          <w:bCs/>
          <w:color w:val="333333"/>
          <w:sz w:val="20"/>
          <w:szCs w:val="20"/>
          <w:lang w:eastAsia="sv-SE"/>
        </w:rPr>
        <w:lastRenderedPageBreak/>
        <w:t>8 §</w:t>
      </w:r>
      <w:bookmarkEnd w:id="11"/>
      <w:r w:rsidRPr="00370307">
        <w:rPr>
          <w:rFonts w:eastAsia="Times New Roman" w:cstheme="minorHAnsi"/>
          <w:sz w:val="20"/>
          <w:szCs w:val="20"/>
          <w:lang w:eastAsia="sv-SE"/>
        </w:rPr>
        <w:t>   Med prisbasbelopp avses prisbasbeloppet enligt 2 kap. 6 och 7 §§ socialförsäkringsbalken.</w:t>
      </w:r>
    </w:p>
    <w:p w14:paraId="4D50D2FE" w14:textId="77777777" w:rsidR="00370307" w:rsidRPr="00370307" w:rsidRDefault="00370307" w:rsidP="00370307">
      <w:pPr>
        <w:spacing w:after="0" w:line="360" w:lineRule="auto"/>
        <w:rPr>
          <w:rFonts w:eastAsia="Times New Roman" w:cstheme="minorHAnsi"/>
          <w:sz w:val="20"/>
          <w:szCs w:val="20"/>
          <w:lang w:eastAsia="sv-SE"/>
        </w:rPr>
      </w:pPr>
      <w:bookmarkStart w:id="12" w:name="K1P9"/>
      <w:r w:rsidRPr="00370307">
        <w:rPr>
          <w:rFonts w:eastAsia="Times New Roman" w:cstheme="minorHAnsi"/>
          <w:b/>
          <w:bCs/>
          <w:color w:val="333333"/>
          <w:sz w:val="20"/>
          <w:szCs w:val="20"/>
          <w:lang w:eastAsia="sv-SE"/>
        </w:rPr>
        <w:t>9 §</w:t>
      </w:r>
      <w:bookmarkEnd w:id="12"/>
      <w:r w:rsidRPr="00370307">
        <w:rPr>
          <w:rFonts w:eastAsia="Times New Roman" w:cstheme="minorHAnsi"/>
          <w:sz w:val="20"/>
          <w:szCs w:val="20"/>
          <w:lang w:eastAsia="sv-SE"/>
        </w:rPr>
        <w:t xml:space="preserve">   När det i beslut som meddelas med stöd av plan- och bygglagen (2010:900) eller denna förordning eller i föreskrifter som meddelas med stöd av denna förordning används termer och uttryck som definieras i </w:t>
      </w:r>
      <w:proofErr w:type="gramStart"/>
      <w:r w:rsidRPr="00370307">
        <w:rPr>
          <w:rFonts w:eastAsia="Times New Roman" w:cstheme="minorHAnsi"/>
          <w:sz w:val="20"/>
          <w:szCs w:val="20"/>
          <w:lang w:eastAsia="sv-SE"/>
        </w:rPr>
        <w:t>3-7</w:t>
      </w:r>
      <w:proofErr w:type="gramEnd"/>
      <w:r w:rsidRPr="00370307">
        <w:rPr>
          <w:rFonts w:eastAsia="Times New Roman" w:cstheme="minorHAnsi"/>
          <w:sz w:val="20"/>
          <w:szCs w:val="20"/>
          <w:lang w:eastAsia="sv-SE"/>
        </w:rPr>
        <w:t xml:space="preserve"> §§, ska dessa ha samma betydelse som i denna förordning om inte annat är särskilt angivet.</w:t>
      </w:r>
    </w:p>
    <w:p w14:paraId="30BB2C52" w14:textId="77777777" w:rsidR="00370307" w:rsidRPr="00370307" w:rsidRDefault="00370307" w:rsidP="00370307">
      <w:pPr>
        <w:spacing w:after="0" w:line="360" w:lineRule="auto"/>
        <w:rPr>
          <w:rFonts w:eastAsia="Times New Roman" w:cstheme="minorHAnsi"/>
          <w:sz w:val="20"/>
          <w:szCs w:val="20"/>
          <w:lang w:eastAsia="sv-SE"/>
        </w:rPr>
      </w:pPr>
      <w:bookmarkStart w:id="13" w:name="K1P10"/>
      <w:r w:rsidRPr="00370307">
        <w:rPr>
          <w:rFonts w:eastAsia="Times New Roman" w:cstheme="minorHAnsi"/>
          <w:b/>
          <w:bCs/>
          <w:color w:val="333333"/>
          <w:sz w:val="20"/>
          <w:szCs w:val="20"/>
          <w:lang w:eastAsia="sv-SE"/>
        </w:rPr>
        <w:t>10 §</w:t>
      </w:r>
      <w:bookmarkEnd w:id="13"/>
      <w:r w:rsidRPr="00370307">
        <w:rPr>
          <w:rFonts w:eastAsia="Times New Roman" w:cstheme="minorHAnsi"/>
          <w:sz w:val="20"/>
          <w:szCs w:val="20"/>
          <w:lang w:eastAsia="sv-SE"/>
        </w:rPr>
        <w:t>   Bestämmelser om riktvärden för buller utomhus för spårtrafik, vägar och flygplatser vid bostadsbyggnader och bestämmelser om beräkning av bullervärden vid bostadsbyggnader finns i förordningen (2015:216) om trafikbuller vid bostadsbyggnader. Förordning (2015:837).</w:t>
      </w:r>
    </w:p>
    <w:p w14:paraId="0DD456C0" w14:textId="77777777" w:rsidR="004D188A" w:rsidRDefault="004D188A"/>
    <w:sectPr w:rsidR="004D18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8258" w14:textId="77777777" w:rsidR="0084204C" w:rsidRDefault="0084204C" w:rsidP="004D188A">
      <w:pPr>
        <w:spacing w:after="0" w:line="240" w:lineRule="auto"/>
      </w:pPr>
      <w:r>
        <w:separator/>
      </w:r>
    </w:p>
  </w:endnote>
  <w:endnote w:type="continuationSeparator" w:id="0">
    <w:p w14:paraId="5B87D5C2" w14:textId="77777777" w:rsidR="0084204C" w:rsidRDefault="0084204C" w:rsidP="004D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rPr>
        <w:sz w:val="18"/>
        <w:szCs w:val="18"/>
      </w:rPr>
    </w:sdtEndPr>
    <w:sdtContent>
      <w:p w14:paraId="0D6B569A" w14:textId="0C25DF5D" w:rsidR="004D188A" w:rsidRPr="00116C3F" w:rsidRDefault="004D188A" w:rsidP="004D188A">
        <w:pPr>
          <w:pStyle w:val="Sidfot"/>
          <w:jc w:val="right"/>
          <w:rPr>
            <w:sz w:val="18"/>
            <w:szCs w:val="18"/>
          </w:rPr>
        </w:pPr>
        <w:r w:rsidRPr="00116C3F">
          <w:rPr>
            <w:sz w:val="18"/>
            <w:szCs w:val="18"/>
          </w:rPr>
          <w:fldChar w:fldCharType="begin"/>
        </w:r>
        <w:r w:rsidRPr="00116C3F">
          <w:rPr>
            <w:sz w:val="18"/>
            <w:szCs w:val="18"/>
          </w:rPr>
          <w:instrText>PAGE   \* MERGEFORMAT</w:instrText>
        </w:r>
        <w:r w:rsidRPr="00116C3F">
          <w:rPr>
            <w:sz w:val="18"/>
            <w:szCs w:val="18"/>
          </w:rPr>
          <w:fldChar w:fldCharType="separate"/>
        </w:r>
        <w:r>
          <w:rPr>
            <w:sz w:val="18"/>
            <w:szCs w:val="18"/>
          </w:rPr>
          <w:t>1</w:t>
        </w:r>
        <w:r w:rsidRPr="00116C3F">
          <w:rPr>
            <w:sz w:val="18"/>
            <w:szCs w:val="18"/>
          </w:rPr>
          <w:fldChar w:fldCharType="end"/>
        </w:r>
        <w:r w:rsidRPr="00116C3F">
          <w:rPr>
            <w:sz w:val="18"/>
            <w:szCs w:val="18"/>
          </w:rPr>
          <w:t xml:space="preserve"> (</w:t>
        </w:r>
        <w:r w:rsidR="00370307">
          <w:rPr>
            <w:sz w:val="18"/>
            <w:szCs w:val="18"/>
          </w:rPr>
          <w:t>4</w:t>
        </w:r>
        <w:r w:rsidRPr="00116C3F">
          <w:rPr>
            <w:sz w:val="18"/>
            <w:szCs w:val="18"/>
          </w:rPr>
          <w:t>)</w:t>
        </w:r>
      </w:p>
    </w:sdtContent>
  </w:sdt>
  <w:p w14:paraId="259552DC" w14:textId="060602D9" w:rsidR="004D188A" w:rsidRDefault="0084204C">
    <w:pPr>
      <w:pStyle w:val="Sidfot"/>
    </w:pPr>
    <w:hyperlink r:id="rId1" w:history="1">
      <w:r w:rsidR="004D188A" w:rsidRPr="004102D8">
        <w:rPr>
          <w:rStyle w:val="Hyperlnk"/>
          <w:b/>
          <w:bCs/>
          <w:i/>
          <w:iCs/>
          <w:sz w:val="16"/>
          <w:szCs w:val="16"/>
        </w:rPr>
        <w:t>www.byggombud.se</w:t>
      </w:r>
    </w:hyperlink>
    <w:r w:rsidR="004D188A">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C45C" w14:textId="77777777" w:rsidR="0084204C" w:rsidRDefault="0084204C" w:rsidP="004D188A">
      <w:pPr>
        <w:spacing w:after="0" w:line="240" w:lineRule="auto"/>
      </w:pPr>
      <w:r>
        <w:separator/>
      </w:r>
    </w:p>
  </w:footnote>
  <w:footnote w:type="continuationSeparator" w:id="0">
    <w:p w14:paraId="7385A632" w14:textId="77777777" w:rsidR="0084204C" w:rsidRDefault="0084204C" w:rsidP="004D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23E0"/>
    <w:multiLevelType w:val="hybridMultilevel"/>
    <w:tmpl w:val="1EA4D1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6745E9"/>
    <w:multiLevelType w:val="hybridMultilevel"/>
    <w:tmpl w:val="B59EFB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444238E"/>
    <w:multiLevelType w:val="hybridMultilevel"/>
    <w:tmpl w:val="4A34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1572A25"/>
    <w:multiLevelType w:val="hybridMultilevel"/>
    <w:tmpl w:val="F7B0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9C121F"/>
    <w:multiLevelType w:val="hybridMultilevel"/>
    <w:tmpl w:val="F18AF8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E2D2990"/>
    <w:multiLevelType w:val="hybridMultilevel"/>
    <w:tmpl w:val="732267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E9178AA"/>
    <w:multiLevelType w:val="multilevel"/>
    <w:tmpl w:val="B31A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B76F7"/>
    <w:multiLevelType w:val="hybridMultilevel"/>
    <w:tmpl w:val="C9428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FD60EC"/>
    <w:multiLevelType w:val="multilevel"/>
    <w:tmpl w:val="FEA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B12BF"/>
    <w:multiLevelType w:val="hybridMultilevel"/>
    <w:tmpl w:val="722809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7"/>
  </w:num>
  <w:num w:numId="5">
    <w:abstractNumId w:val="5"/>
  </w:num>
  <w:num w:numId="6">
    <w:abstractNumId w:val="4"/>
  </w:num>
  <w:num w:numId="7">
    <w:abstractNumId w:val="0"/>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1A4843"/>
    <w:rsid w:val="001D4D4E"/>
    <w:rsid w:val="002D0DE1"/>
    <w:rsid w:val="002E409D"/>
    <w:rsid w:val="00370307"/>
    <w:rsid w:val="0039539D"/>
    <w:rsid w:val="004D188A"/>
    <w:rsid w:val="0084204C"/>
    <w:rsid w:val="00963E54"/>
    <w:rsid w:val="00A32070"/>
    <w:rsid w:val="00B160F8"/>
    <w:rsid w:val="00CF1B52"/>
    <w:rsid w:val="00D05F23"/>
    <w:rsid w:val="00DD26D8"/>
    <w:rsid w:val="00E35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A61E"/>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4D188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D188A"/>
    <w:rPr>
      <w:color w:val="0000FF"/>
      <w:u w:val="single"/>
    </w:rPr>
  </w:style>
  <w:style w:type="character" w:customStyle="1" w:styleId="Rubrik3Char">
    <w:name w:val="Rubrik 3 Char"/>
    <w:basedOn w:val="Standardstycketeckensnitt"/>
    <w:link w:val="Rubrik3"/>
    <w:uiPriority w:val="9"/>
    <w:rsid w:val="004D188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4D18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D18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188A"/>
  </w:style>
  <w:style w:type="paragraph" w:styleId="Sidfot">
    <w:name w:val="footer"/>
    <w:basedOn w:val="Normal"/>
    <w:link w:val="SidfotChar"/>
    <w:uiPriority w:val="99"/>
    <w:unhideWhenUsed/>
    <w:rsid w:val="004D18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188A"/>
  </w:style>
  <w:style w:type="paragraph" w:styleId="Liststycke">
    <w:name w:val="List Paragraph"/>
    <w:basedOn w:val="Normal"/>
    <w:uiPriority w:val="34"/>
    <w:qFormat/>
    <w:rsid w:val="00B16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40">
      <w:bodyDiv w:val="1"/>
      <w:marLeft w:val="0"/>
      <w:marRight w:val="0"/>
      <w:marTop w:val="0"/>
      <w:marBottom w:val="0"/>
      <w:divBdr>
        <w:top w:val="none" w:sz="0" w:space="0" w:color="auto"/>
        <w:left w:val="none" w:sz="0" w:space="0" w:color="auto"/>
        <w:bottom w:val="none" w:sz="0" w:space="0" w:color="auto"/>
        <w:right w:val="none" w:sz="0" w:space="0" w:color="auto"/>
      </w:divBdr>
    </w:div>
    <w:div w:id="329215834">
      <w:bodyDiv w:val="1"/>
      <w:marLeft w:val="0"/>
      <w:marRight w:val="0"/>
      <w:marTop w:val="0"/>
      <w:marBottom w:val="0"/>
      <w:divBdr>
        <w:top w:val="none" w:sz="0" w:space="0" w:color="auto"/>
        <w:left w:val="none" w:sz="0" w:space="0" w:color="auto"/>
        <w:bottom w:val="none" w:sz="0" w:space="0" w:color="auto"/>
        <w:right w:val="none" w:sz="0" w:space="0" w:color="auto"/>
      </w:divBdr>
    </w:div>
    <w:div w:id="523447855">
      <w:bodyDiv w:val="1"/>
      <w:marLeft w:val="0"/>
      <w:marRight w:val="0"/>
      <w:marTop w:val="0"/>
      <w:marBottom w:val="0"/>
      <w:divBdr>
        <w:top w:val="none" w:sz="0" w:space="0" w:color="auto"/>
        <w:left w:val="none" w:sz="0" w:space="0" w:color="auto"/>
        <w:bottom w:val="none" w:sz="0" w:space="0" w:color="auto"/>
        <w:right w:val="none" w:sz="0" w:space="0" w:color="auto"/>
      </w:divBdr>
    </w:div>
    <w:div w:id="1335574105">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forordning-2011338_sfs-2011-33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1405</Words>
  <Characters>7447</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5</cp:revision>
  <cp:lastPrinted>2022-02-22T09:28:00Z</cp:lastPrinted>
  <dcterms:created xsi:type="dcterms:W3CDTF">2022-02-22T14:07:00Z</dcterms:created>
  <dcterms:modified xsi:type="dcterms:W3CDTF">2022-02-22T14:21:00Z</dcterms:modified>
</cp:coreProperties>
</file>